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50317" w14:textId="28E5FB6E" w:rsidR="00445C5E" w:rsidRPr="00185750" w:rsidRDefault="00B619C8" w:rsidP="00B619C8">
      <w:pPr>
        <w:jc w:val="center"/>
        <w:rPr>
          <w:b/>
          <w:bCs/>
          <w:sz w:val="28"/>
          <w:szCs w:val="28"/>
          <w:rPrChange w:id="0" w:author="John Friend" w:date="2019-08-12T10:04:00Z">
            <w:rPr>
              <w:b/>
              <w:bCs/>
            </w:rPr>
          </w:rPrChange>
        </w:rPr>
      </w:pPr>
      <w:bookmarkStart w:id="1" w:name="_GoBack"/>
      <w:bookmarkEnd w:id="1"/>
      <w:r>
        <w:rPr>
          <w:b/>
          <w:bCs/>
          <w:sz w:val="28"/>
          <w:szCs w:val="28"/>
        </w:rPr>
        <w:t>SIX IMPORTANT DIRECTIONS FOR RESEARCH IN PUBLIC POLICY CHOICE</w:t>
      </w:r>
    </w:p>
    <w:p w14:paraId="14719CF0" w14:textId="478EC259" w:rsidR="00445C5E" w:rsidRPr="00A919A4" w:rsidRDefault="00A919A4" w:rsidP="00A919A4">
      <w:pPr>
        <w:pStyle w:val="ListParagraph"/>
        <w:spacing w:after="120"/>
        <w:ind w:left="0"/>
        <w:jc w:val="both"/>
      </w:pPr>
      <w:r w:rsidRPr="00A919A4">
        <w:rPr>
          <w:b/>
          <w:bCs/>
        </w:rPr>
        <w:t xml:space="preserve">Introduction. </w:t>
      </w:r>
      <w:r w:rsidR="00445C5E" w:rsidRPr="00A919A4">
        <w:t>There are several i</w:t>
      </w:r>
      <w:r w:rsidR="001C789F" w:rsidRPr="00A919A4">
        <w:t>nter-related</w:t>
      </w:r>
      <w:r w:rsidR="00445C5E" w:rsidRPr="00A919A4">
        <w:t xml:space="preserve"> </w:t>
      </w:r>
      <w:r w:rsidR="00E250DA" w:rsidRPr="00A919A4">
        <w:t>direction</w:t>
      </w:r>
      <w:r w:rsidR="00445C5E" w:rsidRPr="00A919A4">
        <w:t xml:space="preserve">s of </w:t>
      </w:r>
      <w:r w:rsidR="00185750">
        <w:t xml:space="preserve">field-grounded </w:t>
      </w:r>
      <w:r w:rsidR="00445C5E" w:rsidRPr="00A919A4">
        <w:t xml:space="preserve">research in public policy and planning processes which </w:t>
      </w:r>
      <w:r w:rsidR="0073778A">
        <w:t xml:space="preserve">were pursued by </w:t>
      </w:r>
      <w:r w:rsidR="00445C5E" w:rsidRPr="00A919A4">
        <w:t xml:space="preserve">teams </w:t>
      </w:r>
      <w:r w:rsidR="00C33C48">
        <w:t>in the Coventry office of</w:t>
      </w:r>
      <w:r w:rsidR="00445C5E" w:rsidRPr="00A919A4">
        <w:t xml:space="preserve"> the Institute for Operational Research </w:t>
      </w:r>
      <w:r w:rsidR="007E7544">
        <w:t xml:space="preserve">(IOR) </w:t>
      </w:r>
      <w:r w:rsidR="00445C5E" w:rsidRPr="00A919A4">
        <w:t xml:space="preserve">between the late 1960’s and </w:t>
      </w:r>
      <w:r w:rsidR="00DB6F16" w:rsidRPr="00A919A4">
        <w:t xml:space="preserve">the </w:t>
      </w:r>
      <w:r w:rsidR="00E250DA" w:rsidRPr="00A919A4">
        <w:t>early</w:t>
      </w:r>
      <w:r w:rsidR="006D3F7C" w:rsidRPr="00A919A4">
        <w:t xml:space="preserve"> </w:t>
      </w:r>
      <w:r w:rsidR="00DB6F16" w:rsidRPr="00A919A4">
        <w:t>19</w:t>
      </w:r>
      <w:r w:rsidR="00E250DA" w:rsidRPr="00A919A4">
        <w:t>80’s</w:t>
      </w:r>
      <w:r w:rsidR="00F242F1">
        <w:t xml:space="preserve">, </w:t>
      </w:r>
      <w:r w:rsidR="00445C5E" w:rsidRPr="00A919A4">
        <w:t xml:space="preserve">in the course of </w:t>
      </w:r>
      <w:r w:rsidR="000C37C0" w:rsidRPr="00A919A4">
        <w:t xml:space="preserve">a </w:t>
      </w:r>
      <w:r w:rsidR="001C789F" w:rsidRPr="00A919A4">
        <w:t>succession of</w:t>
      </w:r>
      <w:r w:rsidR="000C37C0" w:rsidRPr="00A919A4">
        <w:t xml:space="preserve"> </w:t>
      </w:r>
      <w:r w:rsidR="00F242F1">
        <w:t xml:space="preserve">public policy </w:t>
      </w:r>
      <w:r w:rsidR="00445C5E" w:rsidRPr="00A919A4">
        <w:t>projects</w:t>
      </w:r>
      <w:r w:rsidR="007E7544">
        <w:t xml:space="preserve">, some </w:t>
      </w:r>
      <w:r w:rsidR="00151BEA" w:rsidRPr="00A919A4">
        <w:t>supported</w:t>
      </w:r>
      <w:r w:rsidR="001C789F" w:rsidRPr="00A919A4">
        <w:t xml:space="preserve"> </w:t>
      </w:r>
      <w:r w:rsidR="007E7544">
        <w:t>b</w:t>
      </w:r>
      <w:r w:rsidR="006D3F7C" w:rsidRPr="00A919A4">
        <w:t xml:space="preserve">y </w:t>
      </w:r>
      <w:r w:rsidR="00151BEA" w:rsidRPr="00A919A4">
        <w:t>UK government departments</w:t>
      </w:r>
      <w:r w:rsidR="000C37C0" w:rsidRPr="00A919A4">
        <w:t xml:space="preserve"> </w:t>
      </w:r>
      <w:r w:rsidR="006D3F7C" w:rsidRPr="00A919A4">
        <w:t>and</w:t>
      </w:r>
      <w:r w:rsidR="000C37C0" w:rsidRPr="00A919A4">
        <w:t xml:space="preserve"> </w:t>
      </w:r>
      <w:r w:rsidR="007E7544">
        <w:t xml:space="preserve">some </w:t>
      </w:r>
      <w:r w:rsidR="000C37C0" w:rsidRPr="00A919A4">
        <w:t>by national research councils</w:t>
      </w:r>
      <w:r w:rsidR="00DB6F16" w:rsidRPr="00A919A4">
        <w:t xml:space="preserve">.  </w:t>
      </w:r>
      <w:r w:rsidR="00185750">
        <w:t xml:space="preserve"> </w:t>
      </w:r>
      <w:r w:rsidR="0073778A">
        <w:t>T</w:t>
      </w:r>
      <w:r w:rsidR="00DB6F16" w:rsidRPr="00A919A4">
        <w:t>he</w:t>
      </w:r>
      <w:r w:rsidR="00E250DA" w:rsidRPr="00A919A4">
        <w:t xml:space="preserve"> research directions </w:t>
      </w:r>
      <w:r w:rsidR="005C748E">
        <w:t xml:space="preserve">to be </w:t>
      </w:r>
      <w:r w:rsidR="0073778A">
        <w:t>review</w:t>
      </w:r>
      <w:r w:rsidR="00E250DA" w:rsidRPr="00A919A4">
        <w:t xml:space="preserve">ed </w:t>
      </w:r>
      <w:r w:rsidR="00691BA2">
        <w:t>in this note</w:t>
      </w:r>
      <w:r w:rsidR="00DB6F16" w:rsidRPr="00A919A4">
        <w:t xml:space="preserve"> </w:t>
      </w:r>
      <w:r w:rsidR="00151BEA" w:rsidRPr="00A919A4">
        <w:t xml:space="preserve">are </w:t>
      </w:r>
      <w:r w:rsidR="00C33C48">
        <w:t xml:space="preserve">all </w:t>
      </w:r>
      <w:r w:rsidR="00151BEA" w:rsidRPr="00A919A4">
        <w:t>closely intertwined</w:t>
      </w:r>
      <w:r w:rsidR="00DB6F16" w:rsidRPr="00A919A4">
        <w:t xml:space="preserve">, </w:t>
      </w:r>
      <w:r w:rsidR="0073778A">
        <w:t>but</w:t>
      </w:r>
      <w:r w:rsidR="00151BEA" w:rsidRPr="00A919A4">
        <w:t xml:space="preserve"> will be introduced </w:t>
      </w:r>
      <w:r w:rsidR="007E7544">
        <w:t xml:space="preserve">here </w:t>
      </w:r>
      <w:r w:rsidR="00151BEA" w:rsidRPr="00A919A4">
        <w:t xml:space="preserve">under </w:t>
      </w:r>
      <w:r w:rsidR="007E7544">
        <w:t xml:space="preserve">the following </w:t>
      </w:r>
      <w:r w:rsidR="00151BEA" w:rsidRPr="00A919A4">
        <w:t>six broad headings</w:t>
      </w:r>
      <w:r w:rsidR="00185750">
        <w:t>:</w:t>
      </w:r>
    </w:p>
    <w:p w14:paraId="1240C63A" w14:textId="48559FB9" w:rsidR="009A3DA0" w:rsidRPr="00A919A4" w:rsidRDefault="009A3DA0" w:rsidP="0073778A">
      <w:pPr>
        <w:pStyle w:val="ListParagraph"/>
        <w:numPr>
          <w:ilvl w:val="0"/>
          <w:numId w:val="6"/>
        </w:numPr>
        <w:spacing w:before="120"/>
        <w:ind w:left="3062" w:hanging="357"/>
        <w:rPr>
          <w:b/>
          <w:bCs/>
        </w:rPr>
      </w:pPr>
      <w:r w:rsidRPr="00A919A4">
        <w:rPr>
          <w:b/>
          <w:bCs/>
        </w:rPr>
        <w:t>Inter-organisational linkage</w:t>
      </w:r>
    </w:p>
    <w:p w14:paraId="723C2E64" w14:textId="77777777" w:rsidR="00C21A0F" w:rsidRPr="00A919A4" w:rsidRDefault="00C21A0F" w:rsidP="0073778A">
      <w:pPr>
        <w:pStyle w:val="ListParagraph"/>
        <w:numPr>
          <w:ilvl w:val="0"/>
          <w:numId w:val="6"/>
        </w:numPr>
        <w:ind w:left="3062"/>
        <w:rPr>
          <w:b/>
          <w:bCs/>
        </w:rPr>
      </w:pPr>
      <w:r w:rsidRPr="00A919A4">
        <w:rPr>
          <w:b/>
          <w:bCs/>
        </w:rPr>
        <w:t>Mapping public policy landscapes</w:t>
      </w:r>
    </w:p>
    <w:p w14:paraId="16A76FCB" w14:textId="0B4171EA" w:rsidR="00E250DA" w:rsidRPr="00A919A4" w:rsidRDefault="00E250DA" w:rsidP="0073778A">
      <w:pPr>
        <w:pStyle w:val="ListParagraph"/>
        <w:numPr>
          <w:ilvl w:val="0"/>
          <w:numId w:val="6"/>
        </w:numPr>
        <w:ind w:left="3062"/>
        <w:rPr>
          <w:b/>
          <w:bCs/>
        </w:rPr>
      </w:pPr>
      <w:r w:rsidRPr="00A919A4">
        <w:rPr>
          <w:b/>
          <w:bCs/>
        </w:rPr>
        <w:t>Dynamics of policy change</w:t>
      </w:r>
    </w:p>
    <w:p w14:paraId="11E9CC3A" w14:textId="17DD58AC" w:rsidR="009A3DA0" w:rsidRPr="00A919A4" w:rsidRDefault="009A3DA0" w:rsidP="0073778A">
      <w:pPr>
        <w:pStyle w:val="ListParagraph"/>
        <w:numPr>
          <w:ilvl w:val="0"/>
          <w:numId w:val="6"/>
        </w:numPr>
        <w:ind w:left="3062"/>
        <w:rPr>
          <w:b/>
          <w:bCs/>
        </w:rPr>
      </w:pPr>
      <w:r w:rsidRPr="00A919A4">
        <w:rPr>
          <w:b/>
          <w:bCs/>
        </w:rPr>
        <w:t>Design of public policy dialogues</w:t>
      </w:r>
    </w:p>
    <w:p w14:paraId="07A09FAC" w14:textId="3DCB4594" w:rsidR="009A3DA0" w:rsidRPr="00A919A4" w:rsidRDefault="009A3DA0" w:rsidP="0073778A">
      <w:pPr>
        <w:pStyle w:val="ListParagraph"/>
        <w:numPr>
          <w:ilvl w:val="0"/>
          <w:numId w:val="6"/>
        </w:numPr>
        <w:ind w:left="3062"/>
        <w:rPr>
          <w:b/>
          <w:bCs/>
        </w:rPr>
      </w:pPr>
      <w:r w:rsidRPr="00A919A4">
        <w:rPr>
          <w:b/>
          <w:bCs/>
        </w:rPr>
        <w:t>Design of public policy engagements</w:t>
      </w:r>
    </w:p>
    <w:p w14:paraId="61C1199D" w14:textId="4018242E" w:rsidR="009A3DA0" w:rsidRPr="00A919A4" w:rsidRDefault="009A3DA0" w:rsidP="0073778A">
      <w:pPr>
        <w:pStyle w:val="ListParagraph"/>
        <w:numPr>
          <w:ilvl w:val="0"/>
          <w:numId w:val="6"/>
        </w:numPr>
        <w:ind w:left="3062"/>
        <w:rPr>
          <w:b/>
          <w:bCs/>
        </w:rPr>
      </w:pPr>
      <w:r w:rsidRPr="00A919A4">
        <w:rPr>
          <w:b/>
          <w:bCs/>
        </w:rPr>
        <w:t>Negotiat</w:t>
      </w:r>
      <w:r w:rsidR="007C481C">
        <w:rPr>
          <w:b/>
          <w:bCs/>
        </w:rPr>
        <w:t>ed</w:t>
      </w:r>
      <w:r w:rsidRPr="00A919A4">
        <w:rPr>
          <w:b/>
          <w:bCs/>
        </w:rPr>
        <w:t xml:space="preserve"> p</w:t>
      </w:r>
      <w:r w:rsidR="00E70C57">
        <w:rPr>
          <w:b/>
          <w:bCs/>
        </w:rPr>
        <w:t>roject</w:t>
      </w:r>
      <w:r w:rsidRPr="00A919A4">
        <w:rPr>
          <w:b/>
          <w:bCs/>
        </w:rPr>
        <w:t xml:space="preserve"> engagements</w:t>
      </w:r>
    </w:p>
    <w:p w14:paraId="520E7AC0" w14:textId="108807FF" w:rsidR="00151BEA" w:rsidRPr="00F242F1" w:rsidRDefault="00151BEA" w:rsidP="00151BEA">
      <w:pPr>
        <w:pStyle w:val="ListParagraph"/>
        <w:rPr>
          <w:sz w:val="16"/>
          <w:szCs w:val="16"/>
        </w:rPr>
      </w:pPr>
    </w:p>
    <w:p w14:paraId="4DA778DC" w14:textId="085E9BB2" w:rsidR="00151BEA" w:rsidRDefault="007E7544" w:rsidP="00BE6B74">
      <w:pPr>
        <w:pStyle w:val="ListParagraph"/>
        <w:ind w:left="0"/>
        <w:jc w:val="both"/>
      </w:pPr>
      <w:r>
        <w:t>None</w:t>
      </w:r>
      <w:r w:rsidR="005C748E">
        <w:t xml:space="preserve"> of t</w:t>
      </w:r>
      <w:r w:rsidR="00E250DA" w:rsidRPr="00A919A4">
        <w:t xml:space="preserve">hese </w:t>
      </w:r>
      <w:r w:rsidR="006418A0" w:rsidRPr="00A919A4">
        <w:t xml:space="preserve">research directions </w:t>
      </w:r>
      <w:r w:rsidR="003942A0">
        <w:t>ha</w:t>
      </w:r>
      <w:r>
        <w:t>s</w:t>
      </w:r>
      <w:r w:rsidR="003942A0">
        <w:t xml:space="preserve"> so far </w:t>
      </w:r>
      <w:r w:rsidR="00B619C8">
        <w:t>been prominent</w:t>
      </w:r>
      <w:r w:rsidR="003942A0">
        <w:t xml:space="preserve"> </w:t>
      </w:r>
      <w:r w:rsidR="00691BA2">
        <w:t>on the radar of</w:t>
      </w:r>
      <w:r w:rsidR="0058743C">
        <w:t xml:space="preserve"> </w:t>
      </w:r>
      <w:r w:rsidR="00151BEA" w:rsidRPr="00A919A4">
        <w:t xml:space="preserve">the </w:t>
      </w:r>
      <w:r w:rsidR="00691BA2">
        <w:t>academic OR</w:t>
      </w:r>
      <w:r w:rsidR="00151BEA" w:rsidRPr="00A919A4">
        <w:t xml:space="preserve"> community</w:t>
      </w:r>
      <w:r w:rsidR="00BE6B74" w:rsidRPr="00A919A4">
        <w:t xml:space="preserve">.  </w:t>
      </w:r>
      <w:r w:rsidR="0058743C">
        <w:t>For</w:t>
      </w:r>
      <w:r w:rsidR="00BE6B74" w:rsidRPr="00A919A4">
        <w:t xml:space="preserve"> the </w:t>
      </w:r>
      <w:r w:rsidR="006418A0" w:rsidRPr="00A919A4">
        <w:t xml:space="preserve">primary </w:t>
      </w:r>
      <w:r w:rsidR="00BE6B74" w:rsidRPr="00A919A4">
        <w:t xml:space="preserve">focus </w:t>
      </w:r>
      <w:r w:rsidR="00C33C48">
        <w:t>within</w:t>
      </w:r>
      <w:r w:rsidR="00BE6B74" w:rsidRPr="00A919A4">
        <w:t xml:space="preserve"> OR </w:t>
      </w:r>
      <w:r w:rsidR="000C37C0" w:rsidRPr="00A919A4">
        <w:t>ha</w:t>
      </w:r>
      <w:r w:rsidR="00BE6B74" w:rsidRPr="00A919A4">
        <w:t>s</w:t>
      </w:r>
      <w:r w:rsidR="000C37C0" w:rsidRPr="00A919A4">
        <w:t xml:space="preserve"> been </w:t>
      </w:r>
      <w:r w:rsidR="00BE6B74" w:rsidRPr="00A919A4">
        <w:t xml:space="preserve">on the development </w:t>
      </w:r>
      <w:r w:rsidR="00C33C48">
        <w:t xml:space="preserve">and application </w:t>
      </w:r>
      <w:r w:rsidR="00BE6B74" w:rsidRPr="00A919A4">
        <w:t xml:space="preserve">of </w:t>
      </w:r>
      <w:r w:rsidR="0058743C">
        <w:t xml:space="preserve">logical and mathematical </w:t>
      </w:r>
      <w:r w:rsidR="00BE6B74" w:rsidRPr="00A919A4">
        <w:t>methods</w:t>
      </w:r>
      <w:r w:rsidR="0058743C">
        <w:t xml:space="preserve"> </w:t>
      </w:r>
      <w:r w:rsidR="00BE6B74" w:rsidRPr="00A919A4">
        <w:t xml:space="preserve">to </w:t>
      </w:r>
      <w:r w:rsidR="006418A0" w:rsidRPr="00A919A4">
        <w:t>support</w:t>
      </w:r>
      <w:r w:rsidR="00BE6B74" w:rsidRPr="00A919A4">
        <w:t xml:space="preserve"> </w:t>
      </w:r>
      <w:r w:rsidR="003942A0">
        <w:t>people</w:t>
      </w:r>
      <w:r w:rsidR="00BE6B74" w:rsidRPr="00A919A4">
        <w:t xml:space="preserve"> </w:t>
      </w:r>
      <w:r w:rsidR="0058743C">
        <w:t>facing</w:t>
      </w:r>
      <w:r w:rsidR="00BE6B74" w:rsidRPr="00A919A4">
        <w:t xml:space="preserve"> complex decision</w:t>
      </w:r>
      <w:r w:rsidR="00DB6F16" w:rsidRPr="00A919A4">
        <w:t>s</w:t>
      </w:r>
      <w:r w:rsidR="006418A0" w:rsidRPr="00A919A4">
        <w:t xml:space="preserve"> within organisations</w:t>
      </w:r>
      <w:r w:rsidR="000C37C0" w:rsidRPr="00A919A4">
        <w:t>.  F</w:t>
      </w:r>
      <w:r w:rsidR="00BE6B74" w:rsidRPr="00A919A4">
        <w:t xml:space="preserve">rom </w:t>
      </w:r>
      <w:r w:rsidR="001C789F" w:rsidRPr="00A919A4">
        <w:t>that</w:t>
      </w:r>
      <w:r w:rsidR="00BE6B74" w:rsidRPr="00A919A4">
        <w:t xml:space="preserve"> perspective</w:t>
      </w:r>
      <w:r w:rsidR="00DB6F16" w:rsidRPr="00A919A4">
        <w:t>,</w:t>
      </w:r>
      <w:r w:rsidR="00BE6B74" w:rsidRPr="00A919A4">
        <w:t xml:space="preserve"> the most important contribution of IOR </w:t>
      </w:r>
      <w:r w:rsidR="006418A0" w:rsidRPr="00A919A4">
        <w:t xml:space="preserve">tends to be </w:t>
      </w:r>
      <w:r w:rsidR="005C748E">
        <w:t>regarded</w:t>
      </w:r>
      <w:r w:rsidR="00BE6B74" w:rsidRPr="00A919A4">
        <w:t xml:space="preserve"> as the development of the </w:t>
      </w:r>
      <w:r w:rsidR="00BE6B74" w:rsidRPr="00A919A4">
        <w:rPr>
          <w:i/>
          <w:iCs/>
        </w:rPr>
        <w:t>Strategic Choice Approach</w:t>
      </w:r>
      <w:r w:rsidR="00BE6B74" w:rsidRPr="00A919A4">
        <w:t xml:space="preserve">, </w:t>
      </w:r>
      <w:r w:rsidR="00185750">
        <w:t xml:space="preserve">viewed as a leading example of a category of </w:t>
      </w:r>
      <w:r w:rsidR="006326CB">
        <w:t xml:space="preserve">interactive </w:t>
      </w:r>
      <w:r w:rsidR="00185750" w:rsidRPr="00185750">
        <w:t>problem structuring methods</w:t>
      </w:r>
      <w:r w:rsidR="00185750">
        <w:rPr>
          <w:i/>
          <w:iCs/>
        </w:rPr>
        <w:t xml:space="preserve">.  </w:t>
      </w:r>
      <w:r w:rsidR="00185750">
        <w:t xml:space="preserve">This </w:t>
      </w:r>
      <w:r w:rsidR="00B619C8">
        <w:t xml:space="preserve">view </w:t>
      </w:r>
      <w:r w:rsidR="00185750">
        <w:t xml:space="preserve">contrasts with the more dynamic view which </w:t>
      </w:r>
      <w:r>
        <w:t xml:space="preserve">reflects </w:t>
      </w:r>
      <w:r w:rsidR="00B619C8">
        <w:t>the</w:t>
      </w:r>
      <w:r w:rsidR="00185750">
        <w:t xml:space="preserve"> origins </w:t>
      </w:r>
      <w:r w:rsidR="006326CB">
        <w:t xml:space="preserve">of SCA </w:t>
      </w:r>
      <w:r w:rsidR="00185750">
        <w:t>in inter-disciplinary research into public planning processes</w:t>
      </w:r>
      <w:r>
        <w:t xml:space="preserve">.  In that context, </w:t>
      </w:r>
      <w:r w:rsidR="006326CB">
        <w:t xml:space="preserve">it developed </w:t>
      </w:r>
      <w:r w:rsidR="00185750">
        <w:t>as a decision-c</w:t>
      </w:r>
      <w:r w:rsidR="00BE6B74" w:rsidRPr="00A919A4">
        <w:t>entred philosophy of planning under</w:t>
      </w:r>
      <w:r w:rsidR="0058743C">
        <w:t xml:space="preserve"> </w:t>
      </w:r>
      <w:r w:rsidR="00185750">
        <w:t>competing</w:t>
      </w:r>
      <w:r w:rsidR="003942A0">
        <w:t xml:space="preserve"> pressures for commitment </w:t>
      </w:r>
      <w:r w:rsidR="00185750">
        <w:t>and for response to</w:t>
      </w:r>
      <w:r w:rsidR="003942A0">
        <w:t xml:space="preserve"> </w:t>
      </w:r>
      <w:r>
        <w:t xml:space="preserve">multiple </w:t>
      </w:r>
      <w:r w:rsidR="003942A0">
        <w:t xml:space="preserve">sources of </w:t>
      </w:r>
      <w:r w:rsidR="0058743C">
        <w:t>uncertainty</w:t>
      </w:r>
      <w:r w:rsidR="006326CB">
        <w:t>.</w:t>
      </w:r>
      <w:r w:rsidR="00BE6B74" w:rsidRPr="00A919A4">
        <w:t xml:space="preserve">  T</w:t>
      </w:r>
      <w:r w:rsidR="006326CB">
        <w:t>h</w:t>
      </w:r>
      <w:r w:rsidR="00BE6B74" w:rsidRPr="00A919A4">
        <w:t>e contras</w:t>
      </w:r>
      <w:r>
        <w:t>t between these</w:t>
      </w:r>
      <w:r w:rsidR="00BE6B74" w:rsidRPr="00A919A4">
        <w:t xml:space="preserve"> perspectives </w:t>
      </w:r>
      <w:r w:rsidR="0065279F" w:rsidRPr="00A919A4">
        <w:t>is illustrated below:</w:t>
      </w:r>
    </w:p>
    <w:p w14:paraId="3087C120" w14:textId="77777777" w:rsidR="007E7544" w:rsidRDefault="007E7544" w:rsidP="00BE6B74">
      <w:pPr>
        <w:pStyle w:val="ListParagraph"/>
        <w:ind w:left="0"/>
        <w:jc w:val="both"/>
      </w:pPr>
    </w:p>
    <w:p w14:paraId="1FDB9222" w14:textId="0AF2E909" w:rsidR="0058743C" w:rsidRPr="00A919A4" w:rsidRDefault="007E7544" w:rsidP="00BE6B74">
      <w:pPr>
        <w:pStyle w:val="ListParagraph"/>
        <w:ind w:left="0"/>
        <w:jc w:val="both"/>
      </w:pPr>
      <w:r w:rsidRPr="00343366">
        <w:rPr>
          <w:noProof/>
        </w:rPr>
        <w:drawing>
          <wp:inline distT="0" distB="0" distL="0" distR="0" wp14:anchorId="23E2B040" wp14:editId="325F2D6E">
            <wp:extent cx="5731510" cy="31000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100070"/>
                    </a:xfrm>
                    <a:prstGeom prst="rect">
                      <a:avLst/>
                    </a:prstGeom>
                  </pic:spPr>
                </pic:pic>
              </a:graphicData>
            </a:graphic>
          </wp:inline>
        </w:drawing>
      </w:r>
    </w:p>
    <w:p w14:paraId="471AE2CC" w14:textId="6CD45D0F" w:rsidR="00DB6F16" w:rsidRPr="00A919A4" w:rsidRDefault="00DB6F16" w:rsidP="00BE6B74">
      <w:pPr>
        <w:pStyle w:val="ListParagraph"/>
        <w:ind w:left="0"/>
        <w:jc w:val="both"/>
      </w:pPr>
    </w:p>
    <w:p w14:paraId="20B37A9B" w14:textId="64A47665" w:rsidR="0046563B" w:rsidRPr="00A919A4" w:rsidRDefault="0058743C" w:rsidP="00A919A4">
      <w:pPr>
        <w:spacing w:after="120"/>
        <w:jc w:val="both"/>
        <w:rPr>
          <w:b/>
          <w:bCs/>
        </w:rPr>
      </w:pPr>
      <w:r>
        <w:rPr>
          <w:b/>
          <w:bCs/>
        </w:rPr>
        <w:t>T</w:t>
      </w:r>
      <w:r w:rsidR="00A919A4" w:rsidRPr="00A919A4">
        <w:rPr>
          <w:b/>
          <w:bCs/>
        </w:rPr>
        <w:t>he six research direction</w:t>
      </w:r>
      <w:r w:rsidR="003942A0">
        <w:rPr>
          <w:b/>
          <w:bCs/>
        </w:rPr>
        <w:t>s</w:t>
      </w:r>
      <w:r>
        <w:rPr>
          <w:b/>
          <w:bCs/>
        </w:rPr>
        <w:t xml:space="preserve"> explained</w:t>
      </w:r>
      <w:r w:rsidR="00A919A4">
        <w:rPr>
          <w:b/>
          <w:bCs/>
        </w:rPr>
        <w:t xml:space="preserve">.  </w:t>
      </w:r>
      <w:r w:rsidR="0046563B" w:rsidRPr="00A919A4">
        <w:t xml:space="preserve">The sections that follow present fuller </w:t>
      </w:r>
      <w:r w:rsidR="00F242F1">
        <w:t>background</w:t>
      </w:r>
      <w:r w:rsidR="0046563B" w:rsidRPr="00A919A4">
        <w:t xml:space="preserve"> o</w:t>
      </w:r>
      <w:r w:rsidR="00F242F1">
        <w:t>n</w:t>
      </w:r>
      <w:r w:rsidR="0046563B" w:rsidRPr="00A919A4">
        <w:t xml:space="preserve"> </w:t>
      </w:r>
      <w:r w:rsidR="008C5C71" w:rsidRPr="00A919A4">
        <w:t xml:space="preserve">the six </w:t>
      </w:r>
      <w:r w:rsidR="00DB6F16" w:rsidRPr="00A919A4">
        <w:t>direction</w:t>
      </w:r>
      <w:r w:rsidR="008C5C71" w:rsidRPr="00A919A4">
        <w:t xml:space="preserve">s of policy-relevant research </w:t>
      </w:r>
      <w:r w:rsidR="0046563B" w:rsidRPr="00A919A4">
        <w:t xml:space="preserve">that </w:t>
      </w:r>
      <w:r>
        <w:t>became prominent</w:t>
      </w:r>
      <w:r w:rsidR="0046563B" w:rsidRPr="00A919A4">
        <w:t xml:space="preserve"> </w:t>
      </w:r>
      <w:r w:rsidR="006418A0" w:rsidRPr="00A919A4">
        <w:t xml:space="preserve">between </w:t>
      </w:r>
      <w:r w:rsidR="0046563B" w:rsidRPr="00A919A4">
        <w:t xml:space="preserve">the late 1960’s and the </w:t>
      </w:r>
      <w:r w:rsidR="006418A0" w:rsidRPr="00A919A4">
        <w:t xml:space="preserve">early </w:t>
      </w:r>
      <w:r w:rsidR="0046563B" w:rsidRPr="00A919A4">
        <w:t>19</w:t>
      </w:r>
      <w:r w:rsidR="006418A0" w:rsidRPr="00A919A4">
        <w:t>8</w:t>
      </w:r>
      <w:r w:rsidR="0046563B" w:rsidRPr="00A919A4">
        <w:t xml:space="preserve">0’s </w:t>
      </w:r>
      <w:r>
        <w:t>for</w:t>
      </w:r>
      <w:r w:rsidR="008C5C71" w:rsidRPr="00A919A4">
        <w:t xml:space="preserve"> </w:t>
      </w:r>
      <w:r w:rsidR="0046563B" w:rsidRPr="00A919A4">
        <w:t>teams from the</w:t>
      </w:r>
      <w:r w:rsidR="008C5C71" w:rsidRPr="00A919A4">
        <w:t xml:space="preserve"> </w:t>
      </w:r>
      <w:r w:rsidR="0046563B" w:rsidRPr="00A919A4">
        <w:t>for</w:t>
      </w:r>
      <w:r w:rsidR="008C5C71" w:rsidRPr="00A919A4">
        <w:t xml:space="preserve">mer IOR </w:t>
      </w:r>
      <w:r w:rsidR="0046563B" w:rsidRPr="00A919A4">
        <w:t>planning processes group</w:t>
      </w:r>
      <w:r w:rsidR="00CD4113" w:rsidRPr="00A919A4">
        <w:t xml:space="preserve"> in Coventry</w:t>
      </w:r>
      <w:r w:rsidR="0046563B" w:rsidRPr="00A919A4">
        <w:t xml:space="preserve">. </w:t>
      </w:r>
      <w:r w:rsidR="003942A0">
        <w:t xml:space="preserve"> </w:t>
      </w:r>
      <w:r w:rsidR="0046563B" w:rsidRPr="00A919A4">
        <w:t xml:space="preserve"> R</w:t>
      </w:r>
      <w:r w:rsidR="008C5C71" w:rsidRPr="00A919A4">
        <w:t>eferences</w:t>
      </w:r>
      <w:r w:rsidR="001A67C4" w:rsidRPr="00A919A4">
        <w:t xml:space="preserve"> </w:t>
      </w:r>
      <w:r w:rsidR="0046563B" w:rsidRPr="00A919A4">
        <w:t>will be given</w:t>
      </w:r>
      <w:r w:rsidR="00C33C48">
        <w:t xml:space="preserve"> </w:t>
      </w:r>
      <w:r w:rsidR="003942A0">
        <w:t xml:space="preserve">at the end of this note </w:t>
      </w:r>
      <w:r w:rsidR="001A67C4" w:rsidRPr="00A919A4">
        <w:t xml:space="preserve">to books, </w:t>
      </w:r>
      <w:r w:rsidR="00E77B3A" w:rsidRPr="00A919A4">
        <w:t xml:space="preserve">to </w:t>
      </w:r>
      <w:r w:rsidR="001A67C4" w:rsidRPr="00A919A4">
        <w:t xml:space="preserve">journal </w:t>
      </w:r>
      <w:r w:rsidR="0046563B" w:rsidRPr="00A919A4">
        <w:t xml:space="preserve">articles </w:t>
      </w:r>
      <w:r w:rsidR="001A67C4" w:rsidRPr="00A919A4">
        <w:t xml:space="preserve">and </w:t>
      </w:r>
      <w:r w:rsidR="006418A0" w:rsidRPr="00A919A4">
        <w:t xml:space="preserve">to a set of </w:t>
      </w:r>
      <w:r w:rsidR="001A67C4" w:rsidRPr="00A919A4">
        <w:t xml:space="preserve">unpublished documents </w:t>
      </w:r>
      <w:r w:rsidR="0046563B" w:rsidRPr="00A919A4">
        <w:t>that ha</w:t>
      </w:r>
      <w:r w:rsidR="00343366">
        <w:t>ve</w:t>
      </w:r>
      <w:r w:rsidR="00CD4113" w:rsidRPr="00A919A4">
        <w:t xml:space="preserve"> </w:t>
      </w:r>
      <w:r w:rsidR="007E7544">
        <w:t xml:space="preserve">recently </w:t>
      </w:r>
      <w:r w:rsidR="0046563B" w:rsidRPr="00A919A4">
        <w:t xml:space="preserve">been lodged in the </w:t>
      </w:r>
      <w:r w:rsidR="001A67C4" w:rsidRPr="00A919A4">
        <w:t xml:space="preserve">IOR legacy section of the </w:t>
      </w:r>
      <w:r w:rsidR="0046563B" w:rsidRPr="00A919A4">
        <w:t xml:space="preserve">document repository on the </w:t>
      </w:r>
      <w:r w:rsidR="001A67C4" w:rsidRPr="00A919A4">
        <w:t xml:space="preserve">OR Society’s </w:t>
      </w:r>
      <w:r w:rsidR="001A67C4" w:rsidRPr="00A919A4">
        <w:lastRenderedPageBreak/>
        <w:t xml:space="preserve">website.  </w:t>
      </w:r>
      <w:r w:rsidR="00E77B3A" w:rsidRPr="00A919A4">
        <w:t xml:space="preserve">Most of the articles are to be found in planning and policy journals which </w:t>
      </w:r>
      <w:r w:rsidR="006326CB">
        <w:t xml:space="preserve">do not </w:t>
      </w:r>
      <w:r w:rsidR="00E77B3A" w:rsidRPr="00A919A4">
        <w:t xml:space="preserve">normally </w:t>
      </w:r>
      <w:r w:rsidR="006326CB">
        <w:t>appear</w:t>
      </w:r>
      <w:r w:rsidR="00E77B3A" w:rsidRPr="00A919A4">
        <w:t xml:space="preserve"> </w:t>
      </w:r>
      <w:r w:rsidR="00E70C57">
        <w:t>on the horizon</w:t>
      </w:r>
      <w:r w:rsidR="007E7544">
        <w:t>s</w:t>
      </w:r>
      <w:r w:rsidR="00E70C57">
        <w:t xml:space="preserve"> of</w:t>
      </w:r>
      <w:r w:rsidR="00E77B3A" w:rsidRPr="00A919A4">
        <w:t xml:space="preserve"> students of operational research and management science.  These references should be of value </w:t>
      </w:r>
      <w:r w:rsidR="00787276">
        <w:t>as starting points for</w:t>
      </w:r>
      <w:r w:rsidR="00E77B3A" w:rsidRPr="00A919A4">
        <w:t xml:space="preserve"> future researchers w</w:t>
      </w:r>
      <w:r w:rsidR="00E70C57">
        <w:t>h</w:t>
      </w:r>
      <w:r w:rsidR="006326CB">
        <w:t>o</w:t>
      </w:r>
      <w:r w:rsidR="00E77B3A" w:rsidRPr="00A919A4">
        <w:t xml:space="preserve"> </w:t>
      </w:r>
      <w:r w:rsidR="006326CB">
        <w:t xml:space="preserve">have </w:t>
      </w:r>
      <w:r w:rsidR="00E77B3A" w:rsidRPr="00A919A4">
        <w:t xml:space="preserve">opportunities to conduct further </w:t>
      </w:r>
      <w:r w:rsidR="007E7544">
        <w:t>investigation</w:t>
      </w:r>
      <w:r w:rsidR="00CD4113" w:rsidRPr="00A919A4">
        <w:t>s</w:t>
      </w:r>
      <w:r w:rsidR="00E77B3A" w:rsidRPr="00A919A4">
        <w:t xml:space="preserve"> into the challenges of developing public policies in </w:t>
      </w:r>
      <w:r w:rsidR="007E7544">
        <w:t xml:space="preserve">any important </w:t>
      </w:r>
      <w:r w:rsidR="00343366">
        <w:t>field</w:t>
      </w:r>
      <w:r w:rsidR="00E77B3A" w:rsidRPr="00A919A4">
        <w:t xml:space="preserve"> of</w:t>
      </w:r>
      <w:r w:rsidR="006418A0" w:rsidRPr="00A919A4">
        <w:t xml:space="preserve"> </w:t>
      </w:r>
      <w:r w:rsidR="00E77B3A" w:rsidRPr="00A919A4">
        <w:t xml:space="preserve">social, environmental or economic </w:t>
      </w:r>
      <w:r w:rsidR="007E7544">
        <w:t>concern</w:t>
      </w:r>
      <w:r w:rsidR="00E77B3A" w:rsidRPr="00A919A4">
        <w:t xml:space="preserve">.     </w:t>
      </w:r>
    </w:p>
    <w:p w14:paraId="0EAE143C" w14:textId="2142EB3F" w:rsidR="001711FF" w:rsidRPr="00B84BFD" w:rsidRDefault="0094150C" w:rsidP="009A5914">
      <w:pPr>
        <w:jc w:val="both"/>
      </w:pPr>
      <w:r>
        <w:rPr>
          <w:b/>
          <w:bCs/>
        </w:rPr>
        <w:t xml:space="preserve">Research direction A: </w:t>
      </w:r>
      <w:r w:rsidRPr="0094150C">
        <w:rPr>
          <w:b/>
          <w:bCs/>
        </w:rPr>
        <w:t>Inter</w:t>
      </w:r>
      <w:r w:rsidR="00C21A0F" w:rsidRPr="0094150C">
        <w:rPr>
          <w:b/>
          <w:bCs/>
        </w:rPr>
        <w:t>-</w:t>
      </w:r>
      <w:r w:rsidRPr="0094150C">
        <w:rPr>
          <w:b/>
          <w:bCs/>
        </w:rPr>
        <w:t>organisational linkage</w:t>
      </w:r>
      <w:r>
        <w:rPr>
          <w:b/>
          <w:bCs/>
        </w:rPr>
        <w:t xml:space="preserve">.  </w:t>
      </w:r>
      <w:r w:rsidRPr="0094150C">
        <w:t>In the ear</w:t>
      </w:r>
      <w:r w:rsidR="00762F99">
        <w:t>liest</w:t>
      </w:r>
      <w:r w:rsidRPr="0094150C">
        <w:t xml:space="preserve"> </w:t>
      </w:r>
      <w:r>
        <w:t>policy research project</w:t>
      </w:r>
      <w:r w:rsidRPr="0094150C">
        <w:t>s of IOR,</w:t>
      </w:r>
      <w:r>
        <w:t xml:space="preserve"> challenges of inter-organisational decision-making</w:t>
      </w:r>
      <w:r w:rsidR="00B25344">
        <w:t xml:space="preserve"> were</w:t>
      </w:r>
      <w:r>
        <w:t xml:space="preserve"> </w:t>
      </w:r>
      <w:r w:rsidR="00762F99">
        <w:t>recognis</w:t>
      </w:r>
      <w:r>
        <w:t xml:space="preserve">ed as </w:t>
      </w:r>
      <w:r w:rsidR="00B25344">
        <w:t>perva</w:t>
      </w:r>
      <w:r w:rsidR="000005F0">
        <w:t>d</w:t>
      </w:r>
      <w:r w:rsidR="00B25344">
        <w:t>i</w:t>
      </w:r>
      <w:r w:rsidR="000005F0">
        <w:t>ng</w:t>
      </w:r>
      <w:r w:rsidR="00B25344">
        <w:t xml:space="preserve"> most worlds of public policy, and thus as </w:t>
      </w:r>
      <w:r>
        <w:t>an important priority for fu</w:t>
      </w:r>
      <w:r w:rsidR="005C748E">
        <w:t xml:space="preserve">ndamental </w:t>
      </w:r>
      <w:r>
        <w:t>research</w:t>
      </w:r>
      <w:r w:rsidR="00B25344">
        <w:t xml:space="preserve">.  </w:t>
      </w:r>
      <w:r w:rsidR="00922FC2">
        <w:t>An</w:t>
      </w:r>
      <w:r w:rsidR="00B25344">
        <w:t xml:space="preserve"> opportunity </w:t>
      </w:r>
      <w:r w:rsidR="00922FC2">
        <w:t>to undertake</w:t>
      </w:r>
      <w:r w:rsidR="005C748E">
        <w:t xml:space="preserve"> such researc</w:t>
      </w:r>
      <w:r w:rsidR="00922FC2">
        <w:t>h a</w:t>
      </w:r>
      <w:r w:rsidR="00B25344">
        <w:t>rose in 19</w:t>
      </w:r>
      <w:r w:rsidR="00CF008B">
        <w:t>6</w:t>
      </w:r>
      <w:r w:rsidR="00B25344">
        <w:t>8 when the UK’s r</w:t>
      </w:r>
      <w:r w:rsidR="008D5C5F" w:rsidRPr="0094150C">
        <w:t>ecently</w:t>
      </w:r>
      <w:r w:rsidR="00343366">
        <w:t xml:space="preserve"> </w:t>
      </w:r>
      <w:r w:rsidR="008D5C5F" w:rsidRPr="0094150C">
        <w:t>formed Social Science Research Council agreed to support</w:t>
      </w:r>
      <w:r w:rsidR="00922FC2">
        <w:t xml:space="preserve"> IOR in first a short </w:t>
      </w:r>
      <w:r w:rsidR="00B25344">
        <w:t xml:space="preserve">pilot </w:t>
      </w:r>
      <w:r w:rsidR="005C748E">
        <w:t>study</w:t>
      </w:r>
      <w:r w:rsidR="00724540">
        <w:rPr>
          <w:vertAlign w:val="superscript"/>
        </w:rPr>
        <w:t>1</w:t>
      </w:r>
      <w:r w:rsidR="00D446CC">
        <w:t xml:space="preserve"> </w:t>
      </w:r>
      <w:r w:rsidR="00922FC2">
        <w:t>and then</w:t>
      </w:r>
      <w:r w:rsidR="008D5C5F" w:rsidRPr="0094150C">
        <w:t xml:space="preserve"> a</w:t>
      </w:r>
      <w:r w:rsidR="00B25344">
        <w:t xml:space="preserve"> </w:t>
      </w:r>
      <w:r w:rsidR="005C748E">
        <w:t xml:space="preserve">fuller </w:t>
      </w:r>
      <w:r w:rsidR="00B25344">
        <w:t>three</w:t>
      </w:r>
      <w:r w:rsidR="00343366">
        <w:t>-</w:t>
      </w:r>
      <w:r w:rsidR="00B25344">
        <w:t xml:space="preserve">year </w:t>
      </w:r>
      <w:r w:rsidR="000005F0">
        <w:t xml:space="preserve">research </w:t>
      </w:r>
      <w:r w:rsidR="00D446CC">
        <w:t>project</w:t>
      </w:r>
      <w:r w:rsidR="00B25344">
        <w:t xml:space="preserve"> </w:t>
      </w:r>
      <w:r w:rsidR="008D5C5F" w:rsidRPr="0094150C">
        <w:t xml:space="preserve">on the theme of </w:t>
      </w:r>
      <w:r w:rsidR="008D5C5F" w:rsidRPr="0094150C">
        <w:rPr>
          <w:i/>
          <w:iCs/>
        </w:rPr>
        <w:t>Decision Networks in Regional Development</w:t>
      </w:r>
      <w:r w:rsidR="00724540">
        <w:rPr>
          <w:vertAlign w:val="superscript"/>
        </w:rPr>
        <w:t>2</w:t>
      </w:r>
      <w:r w:rsidR="008D5C5F" w:rsidRPr="0094150C">
        <w:t>.  The focus of t</w:t>
      </w:r>
      <w:r w:rsidR="00343366">
        <w:t>his</w:t>
      </w:r>
      <w:r w:rsidR="008D5C5F" w:rsidRPr="0094150C">
        <w:t xml:space="preserve"> research was </w:t>
      </w:r>
      <w:r w:rsidR="000005F0">
        <w:t xml:space="preserve">on </w:t>
      </w:r>
      <w:r w:rsidR="008D5C5F" w:rsidRPr="0094150C">
        <w:t xml:space="preserve">a fifteen-year </w:t>
      </w:r>
      <w:r w:rsidR="00D332EE">
        <w:t xml:space="preserve">inter-agency </w:t>
      </w:r>
      <w:r w:rsidR="008D5C5F" w:rsidRPr="0094150C">
        <w:t xml:space="preserve">development programme to expand </w:t>
      </w:r>
      <w:r w:rsidR="00B25344">
        <w:t xml:space="preserve">fourfold </w:t>
      </w:r>
      <w:r w:rsidR="008D5C5F" w:rsidRPr="0094150C">
        <w:t>the population of the small town</w:t>
      </w:r>
      <w:r w:rsidR="000005F0">
        <w:t xml:space="preserve"> </w:t>
      </w:r>
      <w:r w:rsidR="008D5C5F" w:rsidRPr="0094150C">
        <w:t xml:space="preserve">of </w:t>
      </w:r>
      <w:r w:rsidR="000005F0">
        <w:t xml:space="preserve">Droitwich in the English Midlands, as a contribution to accommodating “overspill” population from the </w:t>
      </w:r>
      <w:r w:rsidR="008D5C5F" w:rsidRPr="0094150C">
        <w:t xml:space="preserve">regional metropolis of Birmingham. </w:t>
      </w:r>
      <w:r w:rsidR="000005F0">
        <w:t xml:space="preserve"> </w:t>
      </w:r>
      <w:r w:rsidR="008D5C5F" w:rsidRPr="0094150C">
        <w:t>Th</w:t>
      </w:r>
      <w:r w:rsidR="00D446CC">
        <w:t>is</w:t>
      </w:r>
      <w:r w:rsidR="008D5C5F" w:rsidRPr="0094150C">
        <w:t xml:space="preserve"> programme was managed through </w:t>
      </w:r>
      <w:r w:rsidR="00B25344" w:rsidRPr="0094150C">
        <w:t xml:space="preserve">a </w:t>
      </w:r>
      <w:r w:rsidR="000005F0">
        <w:t xml:space="preserve">multi-disciplinary </w:t>
      </w:r>
      <w:r w:rsidR="00B25344" w:rsidRPr="0094150C">
        <w:t xml:space="preserve">development group </w:t>
      </w:r>
      <w:r w:rsidR="00B25344">
        <w:t xml:space="preserve">accountable to </w:t>
      </w:r>
      <w:r w:rsidR="008D5C5F" w:rsidRPr="0094150C">
        <w:t>a joint committee of the responsible county and district councils</w:t>
      </w:r>
      <w:r w:rsidR="00B25344">
        <w:t xml:space="preserve">.  </w:t>
      </w:r>
      <w:r w:rsidR="00CF008B">
        <w:t xml:space="preserve">The </w:t>
      </w:r>
      <w:r w:rsidR="00762F99">
        <w:t xml:space="preserve">research </w:t>
      </w:r>
      <w:r w:rsidR="00CF008B">
        <w:t>team explored the politics of this partnership</w:t>
      </w:r>
      <w:r w:rsidR="00926AB9">
        <w:t xml:space="preserve"> as </w:t>
      </w:r>
      <w:r w:rsidR="00762F99">
        <w:t xml:space="preserve">it addressed </w:t>
      </w:r>
      <w:r w:rsidR="008E2EFA">
        <w:t xml:space="preserve">a </w:t>
      </w:r>
      <w:r w:rsidR="00926AB9">
        <w:t>s</w:t>
      </w:r>
      <w:r w:rsidR="00D446CC">
        <w:t>uccessi</w:t>
      </w:r>
      <w:r w:rsidR="008E2EFA">
        <w:t>on of</w:t>
      </w:r>
      <w:r w:rsidR="00926AB9">
        <w:t xml:space="preserve"> </w:t>
      </w:r>
      <w:r w:rsidR="00343366">
        <w:t>local challenge</w:t>
      </w:r>
      <w:r w:rsidR="00926AB9">
        <w:t xml:space="preserve">s, </w:t>
      </w:r>
      <w:r w:rsidR="000005F0">
        <w:t>while</w:t>
      </w:r>
      <w:r w:rsidR="00926AB9">
        <w:t xml:space="preserve"> </w:t>
      </w:r>
      <w:r w:rsidR="00CF008B">
        <w:t>th</w:t>
      </w:r>
      <w:r w:rsidR="00926AB9">
        <w:t>e poli</w:t>
      </w:r>
      <w:r w:rsidR="00343366">
        <w:t>ci</w:t>
      </w:r>
      <w:r w:rsidR="00926AB9">
        <w:t xml:space="preserve">es of the relevant governmental </w:t>
      </w:r>
      <w:r w:rsidR="000005F0">
        <w:t xml:space="preserve">themselves </w:t>
      </w:r>
      <w:r w:rsidR="00926AB9">
        <w:t>shifted through time</w:t>
      </w:r>
      <w:r w:rsidR="00D446CC">
        <w:t>.  From this</w:t>
      </w:r>
      <w:r w:rsidR="000005F0">
        <w:t xml:space="preserve"> research </w:t>
      </w:r>
      <w:r w:rsidR="00D446CC">
        <w:t>t</w:t>
      </w:r>
      <w:r w:rsidR="002B2DB0">
        <w:t>hey develop</w:t>
      </w:r>
      <w:r w:rsidR="00343366">
        <w:t>ed</w:t>
      </w:r>
      <w:r w:rsidR="002B2DB0">
        <w:t xml:space="preserve"> a pluralistic view of the </w:t>
      </w:r>
      <w:r w:rsidR="00D446CC">
        <w:t>processes of developmental decision making</w:t>
      </w:r>
      <w:r w:rsidR="000005F0">
        <w:t xml:space="preserve"> through</w:t>
      </w:r>
      <w:r w:rsidR="00D446CC">
        <w:t xml:space="preserve"> a complex and evolving </w:t>
      </w:r>
      <w:r w:rsidR="000005F0">
        <w:t xml:space="preserve">network </w:t>
      </w:r>
      <w:r w:rsidR="00D446CC">
        <w:t xml:space="preserve">of mandatory, negotiated and inter-personal linkages </w:t>
      </w:r>
      <w:r w:rsidR="000005F0">
        <w:t>c</w:t>
      </w:r>
      <w:r w:rsidR="00922FC2">
        <w:t>ut</w:t>
      </w:r>
      <w:r w:rsidR="000005F0">
        <w:t>ting</w:t>
      </w:r>
      <w:r w:rsidR="00922FC2">
        <w:t xml:space="preserve"> </w:t>
      </w:r>
      <w:r w:rsidR="00D446CC">
        <w:t>across organisational boundaries</w:t>
      </w:r>
      <w:r w:rsidR="000005F0">
        <w:t xml:space="preserve">; and they began to explore </w:t>
      </w:r>
      <w:r w:rsidR="00D446CC">
        <w:t xml:space="preserve">the wider implications for the design of </w:t>
      </w:r>
      <w:r w:rsidR="008E2EFA">
        <w:t>inter-agency</w:t>
      </w:r>
      <w:r w:rsidR="00D446CC">
        <w:t xml:space="preserve"> </w:t>
      </w:r>
      <w:r w:rsidR="00D332EE">
        <w:t>relationship</w:t>
      </w:r>
      <w:r w:rsidR="00D446CC">
        <w:t>s</w:t>
      </w:r>
      <w:r w:rsidR="000005F0">
        <w:t xml:space="preserve"> relating to any </w:t>
      </w:r>
      <w:r w:rsidR="00426C55">
        <w:t xml:space="preserve">other </w:t>
      </w:r>
      <w:r w:rsidR="000005F0">
        <w:t xml:space="preserve">such </w:t>
      </w:r>
      <w:r w:rsidR="00A376C3">
        <w:t xml:space="preserve">development </w:t>
      </w:r>
      <w:r w:rsidR="000005F0">
        <w:t xml:space="preserve">initiative. </w:t>
      </w:r>
      <w:r w:rsidR="00426C55">
        <w:t xml:space="preserve">  There is now an exciting scope </w:t>
      </w:r>
      <w:r w:rsidR="00326426">
        <w:t>f</w:t>
      </w:r>
      <w:r w:rsidR="002871A0">
        <w:t>o</w:t>
      </w:r>
      <w:r w:rsidR="00326426">
        <w:t xml:space="preserve">r the </w:t>
      </w:r>
      <w:r w:rsidR="00426C55">
        <w:t>design o</w:t>
      </w:r>
      <w:r w:rsidR="00326426">
        <w:t>f s</w:t>
      </w:r>
      <w:r w:rsidR="00426C55">
        <w:t>imilar</w:t>
      </w:r>
      <w:r w:rsidR="00326426">
        <w:t xml:space="preserve"> methods in exploring </w:t>
      </w:r>
      <w:r w:rsidR="00A376C3">
        <w:t>2</w:t>
      </w:r>
      <w:r w:rsidR="007C481C">
        <w:t>1</w:t>
      </w:r>
      <w:r w:rsidR="00A376C3">
        <w:t>st century</w:t>
      </w:r>
      <w:r w:rsidR="008B495F">
        <w:t xml:space="preserve"> challenges of inter-organisational partnership</w:t>
      </w:r>
      <w:r w:rsidR="00A376C3">
        <w:t xml:space="preserve"> with</w:t>
      </w:r>
      <w:r w:rsidR="008B495F">
        <w:t xml:space="preserve">in </w:t>
      </w:r>
      <w:r w:rsidR="00922FC2">
        <w:t xml:space="preserve">different </w:t>
      </w:r>
      <w:r w:rsidR="00A376C3">
        <w:t xml:space="preserve">national </w:t>
      </w:r>
      <w:r w:rsidR="00343366">
        <w:t>configurations</w:t>
      </w:r>
      <w:r w:rsidR="00922FC2">
        <w:t xml:space="preserve"> of public administration</w:t>
      </w:r>
      <w:r w:rsidR="008B495F">
        <w:rPr>
          <w:vertAlign w:val="superscript"/>
        </w:rPr>
        <w:t>12</w:t>
      </w:r>
      <w:r w:rsidR="008B495F">
        <w:t xml:space="preserve">. </w:t>
      </w:r>
    </w:p>
    <w:p w14:paraId="22FB70A2" w14:textId="55C8C3AD" w:rsidR="00F840FD" w:rsidRPr="00B84BFD" w:rsidRDefault="00F840FD" w:rsidP="00F840FD">
      <w:pPr>
        <w:jc w:val="both"/>
      </w:pPr>
      <w:r>
        <w:rPr>
          <w:b/>
          <w:bCs/>
        </w:rPr>
        <w:t xml:space="preserve">Research direction B: Mapping Public Policy Landscapes.  </w:t>
      </w:r>
      <w:r w:rsidRPr="00B84BFD">
        <w:t>In order</w:t>
      </w:r>
      <w:r>
        <w:rPr>
          <w:b/>
          <w:bCs/>
        </w:rPr>
        <w:t xml:space="preserve"> </w:t>
      </w:r>
      <w:r w:rsidRPr="00B84BFD">
        <w:t>to build a fuller picture of the</w:t>
      </w:r>
      <w:r>
        <w:rPr>
          <w:b/>
          <w:bCs/>
        </w:rPr>
        <w:t xml:space="preserve"> </w:t>
      </w:r>
      <w:r>
        <w:t>wider</w:t>
      </w:r>
      <w:r>
        <w:rPr>
          <w:b/>
          <w:bCs/>
        </w:rPr>
        <w:t xml:space="preserve"> </w:t>
      </w:r>
      <w:r w:rsidRPr="00B84BFD">
        <w:t xml:space="preserve">pattern of relationships </w:t>
      </w:r>
      <w:r>
        <w:t xml:space="preserve">surrounding the Droitwich development, a graphical mapping method was introduced.  This started with a two-dimensional base map in which the vertical dimension represents territorial scale and the horizontal dimension represents a distinction between public and private organisations.  On this base the research team superimposed a series of overlays, each indicating the locus of the various organisations and individuals involved in a different area of decision at the time of the research.  By superimposing these overlays, a fuller picture could be built up of the complexity of formal and informal relations surrounding the Droitwich scheme.   Future researchers should be able to develop this kind of mapping method further, in order to map future public planning networks with the additional help of computer database technology, applying principles of the kind that have now become widely used in the design of geographical information systems,    </w:t>
      </w:r>
    </w:p>
    <w:p w14:paraId="79A7284F" w14:textId="19448D65" w:rsidR="009A5914" w:rsidRPr="002871A0" w:rsidRDefault="00D94E66" w:rsidP="009A5914">
      <w:pPr>
        <w:jc w:val="both"/>
      </w:pPr>
      <w:r>
        <w:rPr>
          <w:b/>
          <w:bCs/>
        </w:rPr>
        <w:t xml:space="preserve">Research direction C: </w:t>
      </w:r>
      <w:r w:rsidR="00E04E80">
        <w:rPr>
          <w:b/>
          <w:bCs/>
        </w:rPr>
        <w:t>Th</w:t>
      </w:r>
      <w:r>
        <w:rPr>
          <w:b/>
          <w:bCs/>
        </w:rPr>
        <w:t xml:space="preserve">e Dynamics of Policy Change.  </w:t>
      </w:r>
      <w:r w:rsidR="00266812">
        <w:rPr>
          <w:b/>
          <w:bCs/>
        </w:rPr>
        <w:t xml:space="preserve"> </w:t>
      </w:r>
      <w:r w:rsidR="00266812" w:rsidRPr="00266812">
        <w:t xml:space="preserve">Several of IOR’s </w:t>
      </w:r>
      <w:r w:rsidR="00DA53E6">
        <w:t xml:space="preserve">policy </w:t>
      </w:r>
      <w:r w:rsidR="00266812" w:rsidRPr="00266812">
        <w:t>projects</w:t>
      </w:r>
      <w:r w:rsidR="00266812">
        <w:rPr>
          <w:b/>
          <w:bCs/>
        </w:rPr>
        <w:t xml:space="preserve"> </w:t>
      </w:r>
      <w:r w:rsidR="00266812" w:rsidRPr="00266812">
        <w:t>in the UK during the</w:t>
      </w:r>
      <w:r w:rsidR="00266812">
        <w:t xml:space="preserve"> 1970’s drew attention to the </w:t>
      </w:r>
      <w:r w:rsidR="00724540">
        <w:t xml:space="preserve">subtle two-way dynamic of policy change, in which </w:t>
      </w:r>
      <w:r w:rsidR="00326426">
        <w:t xml:space="preserve">top-down </w:t>
      </w:r>
      <w:r w:rsidR="00724540">
        <w:t>pressures from</w:t>
      </w:r>
      <w:r w:rsidR="00266812" w:rsidRPr="00266812">
        <w:t xml:space="preserve"> </w:t>
      </w:r>
      <w:r w:rsidR="00326426">
        <w:t>any source of public policy are cou</w:t>
      </w:r>
      <w:r w:rsidR="002138F8">
        <w:t>nt</w:t>
      </w:r>
      <w:r w:rsidR="00326426">
        <w:t>eracted by bottom-up pressures from more local policy “agents”</w:t>
      </w:r>
      <w:r w:rsidR="00DA53E6">
        <w:t xml:space="preserve">.  </w:t>
      </w:r>
      <w:r w:rsidR="00A376C3">
        <w:t xml:space="preserve"> Such</w:t>
      </w:r>
      <w:r w:rsidR="00DA53E6">
        <w:t xml:space="preserve"> </w:t>
      </w:r>
      <w:r w:rsidR="00F840FD">
        <w:t xml:space="preserve">local </w:t>
      </w:r>
      <w:r w:rsidR="00DA53E6">
        <w:t>agents</w:t>
      </w:r>
      <w:r w:rsidR="00326426">
        <w:t xml:space="preserve"> may themselves be subject to </w:t>
      </w:r>
      <w:r w:rsidR="008B495F">
        <w:t xml:space="preserve">conflicting guidelines from </w:t>
      </w:r>
      <w:r w:rsidR="002138F8">
        <w:t>multiple</w:t>
      </w:r>
      <w:r w:rsidR="008B495F">
        <w:t xml:space="preserve"> policy sources </w:t>
      </w:r>
      <w:r w:rsidR="00DA53E6">
        <w:t xml:space="preserve">which </w:t>
      </w:r>
      <w:r w:rsidR="002138F8">
        <w:t>employ</w:t>
      </w:r>
      <w:r w:rsidR="008B495F">
        <w:t xml:space="preserve"> different rules of classification in guiding their response to </w:t>
      </w:r>
      <w:r w:rsidR="00DA53E6">
        <w:t>any one</w:t>
      </w:r>
      <w:r w:rsidR="008B495F">
        <w:t xml:space="preserve"> potentially complex local case</w:t>
      </w:r>
      <w:r w:rsidR="00F840FD">
        <w:t xml:space="preserve">, creating a local situation of </w:t>
      </w:r>
      <w:r w:rsidR="00F840FD">
        <w:rPr>
          <w:i/>
          <w:iCs/>
        </w:rPr>
        <w:t xml:space="preserve">policy stress </w:t>
      </w:r>
      <w:r w:rsidR="00F840FD">
        <w:t>which can itself fuel upward pressure for policy change</w:t>
      </w:r>
      <w:r w:rsidR="008B495F">
        <w:t xml:space="preserve">.   </w:t>
      </w:r>
      <w:r w:rsidR="00E04E80">
        <w:t>A</w:t>
      </w:r>
      <w:r w:rsidR="009A5914" w:rsidRPr="0094150C">
        <w:t xml:space="preserve"> </w:t>
      </w:r>
      <w:r w:rsidR="008B495F">
        <w:t xml:space="preserve">paper </w:t>
      </w:r>
      <w:r w:rsidR="00343366">
        <w:t>outlining</w:t>
      </w:r>
      <w:r w:rsidR="008B495F">
        <w:t xml:space="preserve"> this </w:t>
      </w:r>
      <w:r w:rsidR="009A5914" w:rsidRPr="0094150C">
        <w:t>dual perspective of the dynamics of policy change</w:t>
      </w:r>
      <w:r w:rsidR="00343366">
        <w:t>, and the semantic</w:t>
      </w:r>
      <w:r w:rsidR="009A5914" w:rsidRPr="0094150C">
        <w:t xml:space="preserve"> </w:t>
      </w:r>
      <w:r w:rsidR="00343366">
        <w:t xml:space="preserve">choices involved in the design of policy statements, </w:t>
      </w:r>
      <w:r w:rsidR="009A5914" w:rsidRPr="0094150C">
        <w:t xml:space="preserve">was first published in 1977 in the journal </w:t>
      </w:r>
      <w:r w:rsidR="009A5914" w:rsidRPr="0094150C">
        <w:rPr>
          <w:i/>
          <w:iCs/>
        </w:rPr>
        <w:t>Long Range Planning</w:t>
      </w:r>
      <w:r w:rsidR="007C481C">
        <w:rPr>
          <w:vertAlign w:val="superscript"/>
        </w:rPr>
        <w:t>4</w:t>
      </w:r>
      <w:r w:rsidR="009A5914" w:rsidRPr="0094150C">
        <w:t xml:space="preserve">.  </w:t>
      </w:r>
      <w:r w:rsidR="008B495F">
        <w:t>This kind of challenge became promine</w:t>
      </w:r>
      <w:r w:rsidR="002871A0">
        <w:t xml:space="preserve">nt in </w:t>
      </w:r>
      <w:r w:rsidR="00A376C3">
        <w:t>other</w:t>
      </w:r>
      <w:r w:rsidR="00B802F9">
        <w:t xml:space="preserve"> </w:t>
      </w:r>
      <w:r w:rsidR="002871A0">
        <w:t>IOR project</w:t>
      </w:r>
      <w:r w:rsidR="00A376C3">
        <w:t>s, including a major development project</w:t>
      </w:r>
      <w:r w:rsidR="002871A0">
        <w:t xml:space="preserve"> </w:t>
      </w:r>
      <w:r w:rsidR="00B802F9">
        <w:t>commissioned by the government department responsible for</w:t>
      </w:r>
      <w:r w:rsidR="008B495F">
        <w:t xml:space="preserve"> the introduction in England </w:t>
      </w:r>
      <w:r w:rsidR="002871A0">
        <w:t xml:space="preserve">of </w:t>
      </w:r>
      <w:r w:rsidR="008B495F">
        <w:t>a</w:t>
      </w:r>
      <w:r w:rsidR="002871A0">
        <w:t xml:space="preserve"> new system of county </w:t>
      </w:r>
      <w:r w:rsidR="002871A0">
        <w:rPr>
          <w:i/>
          <w:iCs/>
        </w:rPr>
        <w:t>structure plans</w:t>
      </w:r>
      <w:r w:rsidR="00B802F9">
        <w:t xml:space="preserve">.   These plans </w:t>
      </w:r>
      <w:r w:rsidR="00A376C3">
        <w:t>involved</w:t>
      </w:r>
      <w:r w:rsidR="002871A0">
        <w:t xml:space="preserve"> the presentation of a consistent set of written statements of policy</w:t>
      </w:r>
      <w:r w:rsidR="00A376C3">
        <w:t xml:space="preserve"> relating to</w:t>
      </w:r>
      <w:r w:rsidR="00B802F9">
        <w:t xml:space="preserve"> </w:t>
      </w:r>
      <w:r w:rsidR="002871A0">
        <w:t>land use</w:t>
      </w:r>
      <w:r w:rsidR="00B802F9">
        <w:t>,</w:t>
      </w:r>
      <w:r w:rsidR="002871A0">
        <w:t xml:space="preserve"> rather than </w:t>
      </w:r>
      <w:r w:rsidR="00A376C3">
        <w:t xml:space="preserve">the </w:t>
      </w:r>
      <w:r w:rsidR="00A376C3">
        <w:lastRenderedPageBreak/>
        <w:t xml:space="preserve">drawing of spatial </w:t>
      </w:r>
      <w:r w:rsidR="002871A0">
        <w:t xml:space="preserve">maps </w:t>
      </w:r>
      <w:r w:rsidR="00B802F9">
        <w:t xml:space="preserve">indicating </w:t>
      </w:r>
      <w:r w:rsidR="002871A0">
        <w:t xml:space="preserve">intended future states.  The introduction of a new formal system of </w:t>
      </w:r>
      <w:r w:rsidR="002871A0">
        <w:rPr>
          <w:i/>
          <w:iCs/>
        </w:rPr>
        <w:t>Examination in Publ</w:t>
      </w:r>
      <w:r w:rsidR="00E6462D">
        <w:rPr>
          <w:i/>
          <w:iCs/>
        </w:rPr>
        <w:t>i</w:t>
      </w:r>
      <w:r w:rsidR="002871A0">
        <w:rPr>
          <w:i/>
          <w:iCs/>
        </w:rPr>
        <w:t xml:space="preserve">c </w:t>
      </w:r>
      <w:r w:rsidR="002871A0">
        <w:t>of</w:t>
      </w:r>
      <w:r w:rsidR="00F840FD">
        <w:t xml:space="preserve"> County </w:t>
      </w:r>
      <w:r w:rsidR="002871A0">
        <w:t>Structure Plans highlighted the conflicts between organisations</w:t>
      </w:r>
      <w:r w:rsidR="00A376C3" w:rsidRPr="00A376C3">
        <w:t xml:space="preserve"> </w:t>
      </w:r>
      <w:r w:rsidR="00F840FD">
        <w:t xml:space="preserve">representing different public interests </w:t>
      </w:r>
      <w:r w:rsidR="00A376C3">
        <w:t>that could arise</w:t>
      </w:r>
      <w:r w:rsidR="002871A0">
        <w:t xml:space="preserve"> over the </w:t>
      </w:r>
      <w:r w:rsidR="000B3D7E">
        <w:t xml:space="preserve">choice of </w:t>
      </w:r>
      <w:r w:rsidR="002871A0">
        <w:t xml:space="preserve">wording </w:t>
      </w:r>
      <w:r w:rsidR="000B3D7E">
        <w:t xml:space="preserve">in </w:t>
      </w:r>
      <w:r w:rsidR="00B802F9">
        <w:t xml:space="preserve">these </w:t>
      </w:r>
      <w:r w:rsidR="002871A0">
        <w:t>policy</w:t>
      </w:r>
      <w:r w:rsidR="000B3D7E">
        <w:t xml:space="preserve"> statements</w:t>
      </w:r>
      <w:r w:rsidR="00F840FD">
        <w:t xml:space="preserve"> -no</w:t>
      </w:r>
      <w:r w:rsidR="000702F1">
        <w:t xml:space="preserve">t only </w:t>
      </w:r>
      <w:r w:rsidR="00A376C3">
        <w:t>relating to</w:t>
      </w:r>
      <w:r w:rsidR="00E6462D">
        <w:t xml:space="preserve"> policy direction but</w:t>
      </w:r>
      <w:r w:rsidR="000702F1">
        <w:t xml:space="preserve"> also</w:t>
      </w:r>
      <w:r w:rsidR="00E6462D">
        <w:t xml:space="preserve"> </w:t>
      </w:r>
      <w:r w:rsidR="00A376C3">
        <w:t xml:space="preserve">to </w:t>
      </w:r>
      <w:r w:rsidR="00B802F9">
        <w:t xml:space="preserve">level of </w:t>
      </w:r>
      <w:r w:rsidR="00E6462D">
        <w:t xml:space="preserve">specificity </w:t>
      </w:r>
      <w:r w:rsidR="00A376C3">
        <w:t>versus</w:t>
      </w:r>
      <w:r w:rsidR="00E6462D">
        <w:t xml:space="preserve"> </w:t>
      </w:r>
      <w:r w:rsidR="00E6462D" w:rsidRPr="00E6462D">
        <w:rPr>
          <w:i/>
          <w:iCs/>
        </w:rPr>
        <w:t>nebulosit</w:t>
      </w:r>
      <w:r w:rsidR="00E6462D">
        <w:t>y in</w:t>
      </w:r>
      <w:r w:rsidR="00B802F9">
        <w:t xml:space="preserve"> their </w:t>
      </w:r>
      <w:r w:rsidR="00E6462D">
        <w:t>wording</w:t>
      </w:r>
      <w:r w:rsidR="00E6462D">
        <w:rPr>
          <w:vertAlign w:val="superscript"/>
        </w:rPr>
        <w:t>12</w:t>
      </w:r>
      <w:r w:rsidR="000B3D7E">
        <w:t xml:space="preserve">.  </w:t>
      </w:r>
      <w:r w:rsidR="002871A0">
        <w:t xml:space="preserve"> </w:t>
      </w:r>
    </w:p>
    <w:p w14:paraId="3DC754C2" w14:textId="057F382A" w:rsidR="00C33C48" w:rsidRPr="000B3D7E" w:rsidRDefault="000B3D7E" w:rsidP="00C0063E">
      <w:pPr>
        <w:jc w:val="both"/>
      </w:pPr>
      <w:r>
        <w:rPr>
          <w:b/>
          <w:bCs/>
        </w:rPr>
        <w:t>Research direction D: The Design of Public Policy Dialogues.</w:t>
      </w:r>
      <w:r w:rsidR="00E6462D">
        <w:rPr>
          <w:b/>
          <w:bCs/>
        </w:rPr>
        <w:t xml:space="preserve">  </w:t>
      </w:r>
      <w:r>
        <w:rPr>
          <w:i/>
          <w:iCs/>
        </w:rPr>
        <w:t xml:space="preserve"> </w:t>
      </w:r>
      <w:r w:rsidRPr="000B3D7E">
        <w:t>Although the strateg</w:t>
      </w:r>
      <w:r>
        <w:t>i</w:t>
      </w:r>
      <w:r w:rsidRPr="000B3D7E">
        <w:t>c choice approach to</w:t>
      </w:r>
      <w:r>
        <w:t xml:space="preserve"> planning </w:t>
      </w:r>
      <w:r w:rsidR="00545587">
        <w:t>i</w:t>
      </w:r>
      <w:r w:rsidR="00E6462D">
        <w:t>n i</w:t>
      </w:r>
      <w:r w:rsidR="00545587">
        <w:t>ts</w:t>
      </w:r>
      <w:r w:rsidR="00E6462D">
        <w:t xml:space="preserve"> pure form</w:t>
      </w:r>
      <w:r w:rsidR="00053DF2" w:rsidRPr="00053DF2">
        <w:t xml:space="preserve"> </w:t>
      </w:r>
      <w:r w:rsidR="00053DF2">
        <w:t>does not</w:t>
      </w:r>
      <w:r w:rsidR="000702F1">
        <w:t xml:space="preserve"> call f</w:t>
      </w:r>
      <w:r w:rsidR="006413CC">
        <w:t>or a</w:t>
      </w:r>
      <w:r w:rsidR="00053DF2">
        <w:t xml:space="preserve"> hierarchical </w:t>
      </w:r>
      <w:r w:rsidR="006413CC">
        <w:t xml:space="preserve">distinction between </w:t>
      </w:r>
      <w:r w:rsidR="00545587">
        <w:t xml:space="preserve">different levels of choice, IOR’s research in </w:t>
      </w:r>
      <w:r w:rsidR="00053DF2">
        <w:t>the design of structure plans</w:t>
      </w:r>
      <w:r w:rsidR="00053DF2">
        <w:rPr>
          <w:vertAlign w:val="superscript"/>
        </w:rPr>
        <w:t>5</w:t>
      </w:r>
      <w:r w:rsidR="00F840FD">
        <w:rPr>
          <w:vertAlign w:val="superscript"/>
        </w:rPr>
        <w:t xml:space="preserve"> </w:t>
      </w:r>
      <w:r w:rsidR="00053DF2">
        <w:rPr>
          <w:vertAlign w:val="superscript"/>
        </w:rPr>
        <w:t xml:space="preserve"> </w:t>
      </w:r>
      <w:r w:rsidR="00053DF2">
        <w:t>led to the introduction of a distinction b</w:t>
      </w:r>
      <w:r w:rsidR="006A5EA4">
        <w:t xml:space="preserve">etween </w:t>
      </w:r>
      <w:r w:rsidR="00B802F9" w:rsidRPr="007C481C">
        <w:t xml:space="preserve">broad </w:t>
      </w:r>
      <w:r w:rsidR="006A5EA4" w:rsidRPr="007C481C">
        <w:t>statements of objective</w:t>
      </w:r>
      <w:r w:rsidR="00B802F9" w:rsidRPr="007C481C">
        <w:t>s</w:t>
      </w:r>
      <w:r w:rsidR="006A5EA4" w:rsidRPr="007C481C">
        <w:t xml:space="preserve"> and more specific options of operational policy</w:t>
      </w:r>
      <w:r w:rsidR="00053DF2" w:rsidRPr="007C481C">
        <w:t>, as stipulated in the</w:t>
      </w:r>
      <w:r w:rsidR="00053DF2">
        <w:t xml:space="preserve"> design of the new planning system.  This </w:t>
      </w:r>
      <w:r w:rsidR="00F840FD">
        <w:t xml:space="preserve">led to </w:t>
      </w:r>
      <w:r w:rsidR="000702F1">
        <w:t xml:space="preserve">the introduction of </w:t>
      </w:r>
      <w:r w:rsidR="006A5EA4">
        <w:t xml:space="preserve">a </w:t>
      </w:r>
      <w:r w:rsidR="00B802F9">
        <w:t xml:space="preserve">two-dimensional </w:t>
      </w:r>
      <w:r w:rsidR="000702F1">
        <w:t>grid</w:t>
      </w:r>
      <w:r w:rsidR="006A5EA4">
        <w:t xml:space="preserve"> </w:t>
      </w:r>
      <w:r w:rsidR="000702F1">
        <w:t xml:space="preserve">enabling </w:t>
      </w:r>
      <w:r w:rsidR="006A5EA4">
        <w:t xml:space="preserve">dialogue about compatibilities between </w:t>
      </w:r>
      <w:r w:rsidR="00F840FD">
        <w:t xml:space="preserve">broad </w:t>
      </w:r>
      <w:r w:rsidR="000702F1">
        <w:t xml:space="preserve">statements of </w:t>
      </w:r>
      <w:r w:rsidR="00B802F9">
        <w:t xml:space="preserve">objective and </w:t>
      </w:r>
      <w:r w:rsidR="000702F1">
        <w:t>s</w:t>
      </w:r>
      <w:r w:rsidR="00F840FD">
        <w:t>pecific</w:t>
      </w:r>
      <w:r w:rsidR="000702F1">
        <w:t xml:space="preserve"> </w:t>
      </w:r>
      <w:r w:rsidR="00B802F9">
        <w:t>polic</w:t>
      </w:r>
      <w:r w:rsidR="000702F1">
        <w:t>y</w:t>
      </w:r>
      <w:r w:rsidR="00F840FD">
        <w:t xml:space="preserve"> options</w:t>
      </w:r>
      <w:r w:rsidR="00B802F9">
        <w:t xml:space="preserve">, </w:t>
      </w:r>
      <w:r w:rsidR="000702F1">
        <w:t xml:space="preserve">enabling </w:t>
      </w:r>
      <w:r w:rsidR="006A5EA4">
        <w:t>elect</w:t>
      </w:r>
      <w:r w:rsidR="000702F1">
        <w:t>ed</w:t>
      </w:r>
      <w:r w:rsidR="006A5EA4">
        <w:t xml:space="preserve"> representativ</w:t>
      </w:r>
      <w:r w:rsidR="00B802F9">
        <w:t>es</w:t>
      </w:r>
      <w:r w:rsidR="006A5EA4">
        <w:t xml:space="preserve"> </w:t>
      </w:r>
      <w:r w:rsidR="007E7352">
        <w:t>to</w:t>
      </w:r>
      <w:r w:rsidR="000702F1">
        <w:t xml:space="preserve"> explore compatibilities with their </w:t>
      </w:r>
      <w:r w:rsidR="006413CC">
        <w:t>specialist</w:t>
      </w:r>
      <w:r w:rsidR="006A5EA4">
        <w:t xml:space="preserve"> adviser</w:t>
      </w:r>
      <w:r w:rsidR="00F840FD">
        <w:t>s</w:t>
      </w:r>
      <w:r w:rsidR="006A5EA4">
        <w:t>, without a</w:t>
      </w:r>
      <w:r w:rsidR="00053DF2">
        <w:t xml:space="preserve">ny requirement to </w:t>
      </w:r>
      <w:r w:rsidR="007804D4">
        <w:t>declare</w:t>
      </w:r>
      <w:r w:rsidR="006A5EA4">
        <w:t xml:space="preserve"> preferences</w:t>
      </w:r>
      <w:r w:rsidR="006413CC">
        <w:t xml:space="preserve"> in the process</w:t>
      </w:r>
      <w:r w:rsidR="007804D4">
        <w:t xml:space="preserve">. </w:t>
      </w:r>
      <w:r w:rsidR="00F840FD">
        <w:t xml:space="preserve"> </w:t>
      </w:r>
      <w:r w:rsidR="007804D4">
        <w:t xml:space="preserve"> Similar methods have since proved </w:t>
      </w:r>
      <w:r w:rsidR="006413CC">
        <w:t>of considerable</w:t>
      </w:r>
      <w:r w:rsidR="007804D4">
        <w:t xml:space="preserve"> value in </w:t>
      </w:r>
      <w:r w:rsidR="007E7352">
        <w:t>unlock</w:t>
      </w:r>
      <w:r w:rsidR="007804D4">
        <w:t xml:space="preserve">ing </w:t>
      </w:r>
      <w:r w:rsidR="007C481C">
        <w:t xml:space="preserve">an </w:t>
      </w:r>
      <w:r w:rsidR="007804D4">
        <w:t xml:space="preserve">entrenched conflict between agricultural and environmental stakeholders in </w:t>
      </w:r>
      <w:r w:rsidR="00053DF2">
        <w:t xml:space="preserve">agreeing a regional strategy for water use and conservation in </w:t>
      </w:r>
      <w:r w:rsidR="007E7352">
        <w:t>a prime agricultural region in a</w:t>
      </w:r>
      <w:r w:rsidR="00F840FD">
        <w:t xml:space="preserve"> leading </w:t>
      </w:r>
      <w:r w:rsidR="007C481C">
        <w:t xml:space="preserve">food </w:t>
      </w:r>
      <w:r w:rsidR="00F840FD">
        <w:t>exporting nation</w:t>
      </w:r>
      <w:r w:rsidR="00053DF2">
        <w:t xml:space="preserve">, </w:t>
      </w:r>
      <w:r w:rsidR="007E7352">
        <w:t xml:space="preserve">pointing to </w:t>
      </w:r>
      <w:r w:rsidR="00053DF2">
        <w:t>a case for further research into</w:t>
      </w:r>
      <w:r w:rsidR="007E7352">
        <w:t xml:space="preserve"> </w:t>
      </w:r>
      <w:r w:rsidR="00F840FD">
        <w:t>the</w:t>
      </w:r>
      <w:r w:rsidR="007E7352">
        <w:t xml:space="preserve"> value </w:t>
      </w:r>
      <w:r w:rsidR="00F840FD">
        <w:t>of such policy design methods in</w:t>
      </w:r>
      <w:r w:rsidR="007C481C">
        <w:t xml:space="preserve"> </w:t>
      </w:r>
      <w:r w:rsidR="00F840FD">
        <w:t xml:space="preserve"> </w:t>
      </w:r>
      <w:r w:rsidR="007C481C">
        <w:t>reaching agreement in similar situations of sharply conflicting interests</w:t>
      </w:r>
      <w:r w:rsidR="00410E7E">
        <w:t xml:space="preserve">.  </w:t>
      </w:r>
      <w:r w:rsidR="007804D4">
        <w:t xml:space="preserve"> </w:t>
      </w:r>
    </w:p>
    <w:p w14:paraId="1ED9E7FB" w14:textId="5675585C" w:rsidR="00C0063E" w:rsidRDefault="00410E7E" w:rsidP="00C0063E">
      <w:pPr>
        <w:pStyle w:val="ListParagraph"/>
        <w:ind w:left="0"/>
        <w:jc w:val="both"/>
      </w:pPr>
      <w:r>
        <w:rPr>
          <w:b/>
          <w:bCs/>
        </w:rPr>
        <w:t xml:space="preserve">Research direction E: The Design of Public Policy Engagements.  </w:t>
      </w:r>
      <w:r>
        <w:t xml:space="preserve">The </w:t>
      </w:r>
      <w:r w:rsidR="000702F1">
        <w:t xml:space="preserve">project </w:t>
      </w:r>
      <w:r>
        <w:t xml:space="preserve">work of Allen Hickling in the 1980’s </w:t>
      </w:r>
      <w:r w:rsidR="0063013B">
        <w:t>alongside</w:t>
      </w:r>
      <w:r>
        <w:t xml:space="preserve"> associates in the Netherlands and other European countries enabled him to</w:t>
      </w:r>
      <w:r w:rsidR="001E5F6B">
        <w:t xml:space="preserve"> </w:t>
      </w:r>
      <w:r w:rsidR="000702F1">
        <w:t xml:space="preserve">contribute to the </w:t>
      </w:r>
      <w:r w:rsidR="0063013B">
        <w:t>strategic</w:t>
      </w:r>
      <w:r>
        <w:t xml:space="preserve"> design </w:t>
      </w:r>
      <w:r w:rsidR="000702F1">
        <w:t>of</w:t>
      </w:r>
      <w:r w:rsidR="007E7352">
        <w:t xml:space="preserve"> extensive </w:t>
      </w:r>
      <w:r>
        <w:t>programmes of national environmental policy planning</w:t>
      </w:r>
      <w:r w:rsidR="006413CC">
        <w:t xml:space="preserve">.  The resulting designs </w:t>
      </w:r>
      <w:r w:rsidR="0063013B">
        <w:t xml:space="preserve">involved sequences </w:t>
      </w:r>
      <w:r w:rsidR="007C481C">
        <w:t xml:space="preserve">of workshops </w:t>
      </w:r>
      <w:r w:rsidR="0063013B">
        <w:t>over several months i</w:t>
      </w:r>
      <w:r>
        <w:t>n which a wide range of stakeholders</w:t>
      </w:r>
      <w:r w:rsidR="0063013B">
        <w:t xml:space="preserve"> </w:t>
      </w:r>
      <w:r>
        <w:t xml:space="preserve">became </w:t>
      </w:r>
      <w:r w:rsidR="007E7352">
        <w:t>engaged</w:t>
      </w:r>
      <w:r>
        <w:t xml:space="preserve"> not only in planning teams and </w:t>
      </w:r>
      <w:r w:rsidR="007E7352">
        <w:t xml:space="preserve">in </w:t>
      </w:r>
      <w:r w:rsidR="007C481C">
        <w:t>other</w:t>
      </w:r>
      <w:r>
        <w:t xml:space="preserve"> roles</w:t>
      </w:r>
      <w:r w:rsidR="007C481C">
        <w:t xml:space="preserve"> of direct responsibility</w:t>
      </w:r>
      <w:r>
        <w:t xml:space="preserve">, but also in </w:t>
      </w:r>
      <w:r w:rsidR="0063013B">
        <w:t xml:space="preserve">wider technical, political or implementation roles, as described in Chapters 11 and 12 of the third edition of </w:t>
      </w:r>
      <w:r w:rsidR="0063013B">
        <w:rPr>
          <w:i/>
          <w:iCs/>
        </w:rPr>
        <w:t>Planning under Pressure</w:t>
      </w:r>
      <w:r w:rsidR="0063013B">
        <w:rPr>
          <w:vertAlign w:val="superscript"/>
        </w:rPr>
        <w:t>15</w:t>
      </w:r>
      <w:r w:rsidR="005247C5">
        <w:t>.  Hi</w:t>
      </w:r>
      <w:r w:rsidR="007E7352">
        <w:t>ckling’s</w:t>
      </w:r>
      <w:r w:rsidR="005247C5">
        <w:t xml:space="preserve"> engagement in the design of a first National Environment Policy Plan for the Netherlands paved the way for further experiences in </w:t>
      </w:r>
      <w:r w:rsidR="007E7352">
        <w:t xml:space="preserve">designing </w:t>
      </w:r>
      <w:r w:rsidR="007C481C">
        <w:t xml:space="preserve">programmes of </w:t>
      </w:r>
      <w:r w:rsidR="007E7352">
        <w:t xml:space="preserve">extensive national </w:t>
      </w:r>
      <w:r w:rsidR="005247C5">
        <w:t xml:space="preserve">policy </w:t>
      </w:r>
      <w:r w:rsidR="007E7352">
        <w:t>development, i</w:t>
      </w:r>
      <w:r w:rsidR="005247C5">
        <w:t>ncluding a pioneering National Environmental Policy Plan for Latvia,</w:t>
      </w:r>
      <w:r w:rsidR="007E7352">
        <w:t xml:space="preserve"> the </w:t>
      </w:r>
      <w:r w:rsidR="007C481C">
        <w:t xml:space="preserve">strategic </w:t>
      </w:r>
      <w:r w:rsidR="005247C5">
        <w:t>design for which is summarised in Figure 102</w:t>
      </w:r>
      <w:r w:rsidR="0063013B">
        <w:t xml:space="preserve"> of Chapter </w:t>
      </w:r>
      <w:r w:rsidR="00986918">
        <w:t>12</w:t>
      </w:r>
      <w:r w:rsidR="00C0063E">
        <w:t>.</w:t>
      </w:r>
    </w:p>
    <w:p w14:paraId="494C6193" w14:textId="60842FCF" w:rsidR="00C0063E" w:rsidRPr="00C0063E" w:rsidRDefault="00C0063E" w:rsidP="00C0063E">
      <w:pPr>
        <w:pStyle w:val="ListParagraph"/>
        <w:ind w:left="0"/>
        <w:jc w:val="both"/>
        <w:rPr>
          <w:sz w:val="16"/>
          <w:szCs w:val="16"/>
        </w:rPr>
      </w:pPr>
    </w:p>
    <w:p w14:paraId="3AFDE6B9" w14:textId="2B024401" w:rsidR="00410E7E" w:rsidRPr="00BA7706" w:rsidRDefault="005247C5" w:rsidP="00C33C48">
      <w:pPr>
        <w:pStyle w:val="ListParagraph"/>
        <w:spacing w:after="120"/>
        <w:ind w:left="0"/>
        <w:jc w:val="both"/>
      </w:pPr>
      <w:r>
        <w:t xml:space="preserve"> </w:t>
      </w:r>
      <w:r w:rsidR="00C0063E">
        <w:rPr>
          <w:b/>
          <w:bCs/>
        </w:rPr>
        <w:t xml:space="preserve">Research direction F: Negotiated </w:t>
      </w:r>
      <w:r w:rsidR="0087095F">
        <w:rPr>
          <w:b/>
          <w:bCs/>
        </w:rPr>
        <w:t>P</w:t>
      </w:r>
      <w:r w:rsidR="00C0063E">
        <w:rPr>
          <w:b/>
          <w:bCs/>
        </w:rPr>
        <w:t>roject Engagement</w:t>
      </w:r>
      <w:r w:rsidR="007C481C">
        <w:rPr>
          <w:b/>
          <w:bCs/>
        </w:rPr>
        <w:t>s</w:t>
      </w:r>
      <w:r w:rsidR="0087095F">
        <w:rPr>
          <w:b/>
          <w:bCs/>
        </w:rPr>
        <w:t xml:space="preserve">.  </w:t>
      </w:r>
      <w:r w:rsidR="0087095F">
        <w:t xml:space="preserve">in 1980, the UK Social </w:t>
      </w:r>
      <w:r w:rsidR="00986918">
        <w:t>S</w:t>
      </w:r>
      <w:r w:rsidR="0087095F">
        <w:t xml:space="preserve">cience Research Council agreed to support a six-month IOR </w:t>
      </w:r>
      <w:r w:rsidR="0087095F" w:rsidRPr="0087095F">
        <w:t xml:space="preserve">project to </w:t>
      </w:r>
      <w:r w:rsidR="0087095F">
        <w:t xml:space="preserve">review the experience of successive past projects which had sought to combine insights from operational research and the social sciences.  Drawing on the work of </w:t>
      </w:r>
      <w:proofErr w:type="spellStart"/>
      <w:r w:rsidR="0087095F">
        <w:t>Hylton</w:t>
      </w:r>
      <w:proofErr w:type="spellEnd"/>
      <w:r w:rsidR="0087095F">
        <w:t xml:space="preserve"> Boothroyd in his book </w:t>
      </w:r>
      <w:r w:rsidR="0087095F">
        <w:rPr>
          <w:i/>
          <w:iCs/>
        </w:rPr>
        <w:t>Articulate Intervention</w:t>
      </w:r>
      <w:r w:rsidR="00986918">
        <w:rPr>
          <w:vertAlign w:val="superscript"/>
        </w:rPr>
        <w:t>13</w:t>
      </w:r>
      <w:r w:rsidR="0087095F" w:rsidRPr="0087095F">
        <w:t>, the project team</w:t>
      </w:r>
      <w:r w:rsidR="0087095F">
        <w:rPr>
          <w:i/>
          <w:iCs/>
        </w:rPr>
        <w:t xml:space="preserve"> </w:t>
      </w:r>
      <w:r w:rsidR="0087095F">
        <w:t xml:space="preserve">developed a general model for comparing the experiences of </w:t>
      </w:r>
      <w:r w:rsidR="00986918">
        <w:t xml:space="preserve">successive </w:t>
      </w:r>
      <w:r w:rsidR="0087095F">
        <w:rPr>
          <w:i/>
          <w:iCs/>
        </w:rPr>
        <w:t xml:space="preserve">negotiated </w:t>
      </w:r>
      <w:r w:rsidR="00986918">
        <w:rPr>
          <w:i/>
          <w:iCs/>
        </w:rPr>
        <w:t xml:space="preserve">project </w:t>
      </w:r>
      <w:r w:rsidR="0087095F">
        <w:rPr>
          <w:i/>
          <w:iCs/>
        </w:rPr>
        <w:t xml:space="preserve">engagements.  </w:t>
      </w:r>
      <w:r w:rsidR="0087095F">
        <w:t xml:space="preserve">Such a temporary engagement was viewed as involving the interaction of </w:t>
      </w:r>
      <w:r w:rsidR="0014181E">
        <w:t>people within an</w:t>
      </w:r>
      <w:r w:rsidR="0087095F">
        <w:t xml:space="preserve"> </w:t>
      </w:r>
      <w:r w:rsidR="0087095F" w:rsidRPr="0087095F">
        <w:rPr>
          <w:i/>
          <w:iCs/>
        </w:rPr>
        <w:t xml:space="preserve">agent </w:t>
      </w:r>
      <w:r w:rsidR="0014181E">
        <w:rPr>
          <w:i/>
          <w:iCs/>
        </w:rPr>
        <w:t>domain</w:t>
      </w:r>
      <w:r w:rsidR="00986918">
        <w:rPr>
          <w:i/>
          <w:iCs/>
        </w:rPr>
        <w:t>,</w:t>
      </w:r>
      <w:r w:rsidR="0090122D">
        <w:t xml:space="preserve"> </w:t>
      </w:r>
      <w:r w:rsidR="0014181E">
        <w:t xml:space="preserve">acting </w:t>
      </w:r>
      <w:r w:rsidR="00986918">
        <w:t xml:space="preserve">either </w:t>
      </w:r>
      <w:r w:rsidR="0090122D">
        <w:t>as consultants or researchers</w:t>
      </w:r>
      <w:r w:rsidR="00986918">
        <w:t>,</w:t>
      </w:r>
      <w:r w:rsidR="0090122D">
        <w:t xml:space="preserve"> with</w:t>
      </w:r>
      <w:r w:rsidR="0087095F">
        <w:t xml:space="preserve"> </w:t>
      </w:r>
      <w:r w:rsidR="0014181E">
        <w:t>other people within a</w:t>
      </w:r>
      <w:r w:rsidR="0090122D">
        <w:t xml:space="preserve"> </w:t>
      </w:r>
      <w:r w:rsidR="0087095F">
        <w:rPr>
          <w:i/>
          <w:iCs/>
        </w:rPr>
        <w:t>h</w:t>
      </w:r>
      <w:r w:rsidR="0090122D">
        <w:rPr>
          <w:i/>
          <w:iCs/>
        </w:rPr>
        <w:t xml:space="preserve">ost </w:t>
      </w:r>
      <w:r w:rsidR="0014181E">
        <w:rPr>
          <w:i/>
          <w:iCs/>
        </w:rPr>
        <w:t>domain</w:t>
      </w:r>
      <w:r w:rsidR="00986918">
        <w:rPr>
          <w:i/>
          <w:iCs/>
        </w:rPr>
        <w:t xml:space="preserve">.  </w:t>
      </w:r>
      <w:r w:rsidR="00986918">
        <w:t>I</w:t>
      </w:r>
      <w:r w:rsidR="0090122D" w:rsidRPr="0090122D">
        <w:t xml:space="preserve">n many cases </w:t>
      </w:r>
      <w:r w:rsidR="00986918">
        <w:t xml:space="preserve">the project was also supported or commissioned </w:t>
      </w:r>
      <w:r w:rsidR="0090122D" w:rsidRPr="0090122D">
        <w:t xml:space="preserve">by </w:t>
      </w:r>
      <w:r w:rsidR="0014181E">
        <w:t xml:space="preserve">people in an </w:t>
      </w:r>
      <w:r w:rsidR="0090122D">
        <w:t xml:space="preserve">external </w:t>
      </w:r>
      <w:r w:rsidR="0090122D">
        <w:rPr>
          <w:i/>
          <w:iCs/>
        </w:rPr>
        <w:t xml:space="preserve">sponsor </w:t>
      </w:r>
      <w:r w:rsidR="0014181E">
        <w:rPr>
          <w:i/>
          <w:iCs/>
        </w:rPr>
        <w:t xml:space="preserve">domain </w:t>
      </w:r>
      <w:r w:rsidR="0014181E">
        <w:t>who</w:t>
      </w:r>
      <w:r w:rsidR="00986918">
        <w:t>se co</w:t>
      </w:r>
      <w:r w:rsidR="0090122D">
        <w:t>ncern</w:t>
      </w:r>
      <w:r w:rsidR="00986918">
        <w:t xml:space="preserve"> is</w:t>
      </w:r>
      <w:r w:rsidR="0090122D">
        <w:t xml:space="preserve"> t</w:t>
      </w:r>
      <w:r w:rsidR="0014181E">
        <w:t>o</w:t>
      </w:r>
      <w:r w:rsidR="0090122D">
        <w:t xml:space="preserve"> </w:t>
      </w:r>
      <w:r w:rsidR="00986918">
        <w:t>achieve</w:t>
      </w:r>
      <w:r w:rsidR="0090122D">
        <w:t xml:space="preserve"> bro</w:t>
      </w:r>
      <w:r w:rsidR="0014181E">
        <w:t>a</w:t>
      </w:r>
      <w:r w:rsidR="0090122D">
        <w:t>der learning outcomes</w:t>
      </w:r>
      <w:r w:rsidR="0014181E">
        <w:t xml:space="preserve">.  Within each of these domains, people may be influenced by different </w:t>
      </w:r>
      <w:r w:rsidR="0014181E">
        <w:rPr>
          <w:i/>
          <w:iCs/>
        </w:rPr>
        <w:t>programme</w:t>
      </w:r>
      <w:r w:rsidR="00BA7706">
        <w:rPr>
          <w:i/>
          <w:iCs/>
        </w:rPr>
        <w:t xml:space="preserve"> </w:t>
      </w:r>
      <w:r w:rsidR="0014181E">
        <w:rPr>
          <w:i/>
          <w:iCs/>
        </w:rPr>
        <w:t>s</w:t>
      </w:r>
      <w:r w:rsidR="00BA7706">
        <w:rPr>
          <w:i/>
          <w:iCs/>
        </w:rPr>
        <w:t>trands</w:t>
      </w:r>
      <w:r w:rsidR="0014181E">
        <w:rPr>
          <w:i/>
          <w:iCs/>
        </w:rPr>
        <w:t xml:space="preserve"> </w:t>
      </w:r>
      <w:r w:rsidR="0014181E">
        <w:t xml:space="preserve">of three broad </w:t>
      </w:r>
      <w:r w:rsidR="00986918">
        <w:t>categories</w:t>
      </w:r>
      <w:r w:rsidR="0014181E">
        <w:t xml:space="preserve">: </w:t>
      </w:r>
      <w:r w:rsidR="0014181E" w:rsidRPr="00986918">
        <w:rPr>
          <w:i/>
          <w:iCs/>
        </w:rPr>
        <w:t>disciplinary</w:t>
      </w:r>
      <w:r w:rsidR="0014181E">
        <w:t xml:space="preserve">, </w:t>
      </w:r>
      <w:r w:rsidR="0014181E" w:rsidRPr="00986918">
        <w:rPr>
          <w:i/>
          <w:iCs/>
        </w:rPr>
        <w:t>institutional</w:t>
      </w:r>
      <w:r w:rsidR="0014181E">
        <w:t xml:space="preserve"> and </w:t>
      </w:r>
      <w:r w:rsidR="0014181E" w:rsidRPr="00986918">
        <w:rPr>
          <w:i/>
          <w:iCs/>
        </w:rPr>
        <w:t>personal</w:t>
      </w:r>
      <w:r w:rsidR="0014181E">
        <w:t xml:space="preserve">.   </w:t>
      </w:r>
      <w:r w:rsidR="0014181E">
        <w:rPr>
          <w:i/>
          <w:iCs/>
        </w:rPr>
        <w:t xml:space="preserve"> </w:t>
      </w:r>
      <w:r w:rsidR="00BA7706">
        <w:t xml:space="preserve">During and after the period of this brief </w:t>
      </w:r>
      <w:r w:rsidR="00986918">
        <w:t xml:space="preserve">review </w:t>
      </w:r>
      <w:r w:rsidR="00BA7706">
        <w:t>project</w:t>
      </w:r>
      <w:r w:rsidR="000D00CF">
        <w:rPr>
          <w:vertAlign w:val="superscript"/>
        </w:rPr>
        <w:t>11</w:t>
      </w:r>
      <w:r w:rsidR="00BA7706">
        <w:t xml:space="preserve">, this multi-stranded analytical framework was used to ask questions about the ways in which  each programme strand had influenced the course of the project, and </w:t>
      </w:r>
      <w:r w:rsidR="00A45D98">
        <w:t xml:space="preserve">had </w:t>
      </w:r>
      <w:r w:rsidR="00BA7706">
        <w:t xml:space="preserve">in turn </w:t>
      </w:r>
      <w:r w:rsidR="00986918">
        <w:t xml:space="preserve">been </w:t>
      </w:r>
      <w:r w:rsidR="00BA7706">
        <w:t xml:space="preserve">influenced </w:t>
      </w:r>
      <w:r w:rsidR="00986918">
        <w:t xml:space="preserve">in its further development by the experience </w:t>
      </w:r>
      <w:r w:rsidR="00BA7706">
        <w:t xml:space="preserve">of </w:t>
      </w:r>
      <w:r w:rsidR="00986918">
        <w:t>that particular engagement</w:t>
      </w:r>
      <w:r w:rsidR="00BA7706">
        <w:t xml:space="preserve">.   This general </w:t>
      </w:r>
      <w:r w:rsidR="000D00CF">
        <w:t xml:space="preserve">kind of </w:t>
      </w:r>
      <w:r w:rsidR="00BA7706">
        <w:t>approach</w:t>
      </w:r>
      <w:r w:rsidR="00986918">
        <w:t xml:space="preserve">, when applied </w:t>
      </w:r>
      <w:r w:rsidR="00BA7706">
        <w:t xml:space="preserve">to the </w:t>
      </w:r>
      <w:r w:rsidR="00986918">
        <w:t xml:space="preserve">review </w:t>
      </w:r>
      <w:r w:rsidR="00BA7706">
        <w:t xml:space="preserve">of </w:t>
      </w:r>
      <w:r w:rsidR="00986918">
        <w:t xml:space="preserve">any </w:t>
      </w:r>
      <w:r w:rsidR="00BA7706">
        <w:t xml:space="preserve">completed </w:t>
      </w:r>
      <w:r w:rsidR="00986918">
        <w:t>or</w:t>
      </w:r>
      <w:r w:rsidR="00BA7706">
        <w:t xml:space="preserve"> ongoing project engagement</w:t>
      </w:r>
      <w:r w:rsidR="00986918">
        <w:t>,</w:t>
      </w:r>
      <w:r w:rsidR="000E7DDA">
        <w:t xml:space="preserve"> </w:t>
      </w:r>
      <w:r w:rsidR="000D00CF">
        <w:t xml:space="preserve">has proved </w:t>
      </w:r>
      <w:r w:rsidR="000E7DDA">
        <w:t>of particular value in exploring public policy projects in which there may be not only multiple project agents</w:t>
      </w:r>
      <w:r w:rsidR="000D00CF">
        <w:t>,</w:t>
      </w:r>
      <w:r w:rsidR="000E7DDA">
        <w:t xml:space="preserve"> but also</w:t>
      </w:r>
      <w:r w:rsidR="000D00CF">
        <w:t xml:space="preserve"> </w:t>
      </w:r>
      <w:r w:rsidR="000E7DDA">
        <w:t xml:space="preserve">multiple hosts and, especially in </w:t>
      </w:r>
      <w:r w:rsidR="00A45D98">
        <w:t>context</w:t>
      </w:r>
      <w:r w:rsidR="000E7DDA">
        <w:t xml:space="preserve">s of international </w:t>
      </w:r>
      <w:r w:rsidR="00A45D98">
        <w:t>co-operation,</w:t>
      </w:r>
      <w:r w:rsidR="000E7DDA">
        <w:t xml:space="preserve"> multiple sponsors as well. </w:t>
      </w:r>
      <w:r w:rsidR="00BA7706">
        <w:t xml:space="preserve">  </w:t>
      </w:r>
      <w:r w:rsidR="000E7DDA">
        <w:t>Further refinement of th</w:t>
      </w:r>
      <w:r w:rsidR="000D00CF">
        <w:t>is</w:t>
      </w:r>
      <w:r w:rsidR="000E7DDA">
        <w:t xml:space="preserve"> </w:t>
      </w:r>
      <w:r w:rsidR="000D00CF">
        <w:t xml:space="preserve">general </w:t>
      </w:r>
      <w:r w:rsidR="000E7DDA">
        <w:t>enquiring method, supported by the development of electronic data base</w:t>
      </w:r>
      <w:r w:rsidR="000D00CF">
        <w:t>s for recording and sharing the resulting data</w:t>
      </w:r>
      <w:r w:rsidR="000E7DDA">
        <w:t>, could be of wide significance for the future of public policy research</w:t>
      </w:r>
      <w:r w:rsidR="00A45D98">
        <w:t>.</w:t>
      </w:r>
      <w:r w:rsidR="000E7DDA">
        <w:t xml:space="preserve"> </w:t>
      </w:r>
    </w:p>
    <w:p w14:paraId="1ACBFE01" w14:textId="05557A32" w:rsidR="00410E7E" w:rsidRPr="0087095F" w:rsidRDefault="00410E7E" w:rsidP="00C33C48">
      <w:pPr>
        <w:pStyle w:val="ListParagraph"/>
        <w:spacing w:after="120"/>
        <w:ind w:left="0"/>
        <w:jc w:val="both"/>
      </w:pPr>
      <w:r w:rsidRPr="0087095F">
        <w:lastRenderedPageBreak/>
        <w:t xml:space="preserve">   </w:t>
      </w:r>
    </w:p>
    <w:p w14:paraId="680BF7FD" w14:textId="0738F8FF" w:rsidR="00C33C48" w:rsidRDefault="002871A0" w:rsidP="00C33C48">
      <w:pPr>
        <w:pStyle w:val="ListParagraph"/>
        <w:spacing w:after="120"/>
        <w:ind w:left="0"/>
        <w:jc w:val="both"/>
      </w:pPr>
      <w:r>
        <w:rPr>
          <w:b/>
          <w:bCs/>
        </w:rPr>
        <w:t xml:space="preserve">References.  </w:t>
      </w:r>
      <w:r w:rsidR="00C33C48" w:rsidRPr="002001B5">
        <w:t xml:space="preserve">The following </w:t>
      </w:r>
      <w:r w:rsidR="00A45D98">
        <w:t>bibliography includes not only one</w:t>
      </w:r>
      <w:r w:rsidR="00C33C48" w:rsidRPr="002001B5">
        <w:t xml:space="preserve"> published bo</w:t>
      </w:r>
      <w:r w:rsidR="00A45D98">
        <w:t>ok</w:t>
      </w:r>
      <w:r w:rsidR="00A45D98">
        <w:rPr>
          <w:vertAlign w:val="superscript"/>
        </w:rPr>
        <w:t>2</w:t>
      </w:r>
      <w:r w:rsidR="00A45D98">
        <w:t xml:space="preserve"> but also </w:t>
      </w:r>
      <w:r w:rsidR="00C33C48" w:rsidRPr="002001B5">
        <w:t>a se</w:t>
      </w:r>
      <w:r w:rsidR="00A45D98">
        <w:t xml:space="preserve">lection </w:t>
      </w:r>
      <w:r w:rsidR="00C33C48" w:rsidRPr="002001B5">
        <w:t>of articles in planning and policy journals</w:t>
      </w:r>
      <w:r w:rsidR="00A45D98">
        <w:t xml:space="preserve">, none of which </w:t>
      </w:r>
      <w:r w:rsidR="00C33C48" w:rsidRPr="002001B5">
        <w:t xml:space="preserve">are </w:t>
      </w:r>
      <w:proofErr w:type="gramStart"/>
      <w:r w:rsidR="00A45D98">
        <w:t>as yet</w:t>
      </w:r>
      <w:proofErr w:type="gramEnd"/>
      <w:r w:rsidR="00A45D98">
        <w:t xml:space="preserve"> familiar to students of </w:t>
      </w:r>
      <w:r w:rsidR="00C33C48" w:rsidRPr="002001B5">
        <w:t>operational research.</w:t>
      </w:r>
      <w:r w:rsidR="00A45D98">
        <w:t xml:space="preserve"> </w:t>
      </w:r>
      <w:r w:rsidR="00C33C48" w:rsidRPr="002001B5">
        <w:t xml:space="preserve">  Together they introduce concepts and methods </w:t>
      </w:r>
      <w:r w:rsidR="000D00CF">
        <w:t xml:space="preserve">that have been </w:t>
      </w:r>
      <w:r w:rsidR="00C33C48" w:rsidRPr="002001B5">
        <w:t xml:space="preserve">developed through projects </w:t>
      </w:r>
      <w:r w:rsidR="000D00CF">
        <w:t>within</w:t>
      </w:r>
      <w:r w:rsidR="00C33C48" w:rsidRPr="002001B5">
        <w:t xml:space="preserve"> the IOR Planning Processes </w:t>
      </w:r>
      <w:r w:rsidR="00A45D98">
        <w:t>P</w:t>
      </w:r>
      <w:r w:rsidR="00C33C48" w:rsidRPr="002001B5">
        <w:t xml:space="preserve">rogramme </w:t>
      </w:r>
      <w:r w:rsidR="00A45D98">
        <w:t>which</w:t>
      </w:r>
      <w:r w:rsidR="00C33C48" w:rsidRPr="002001B5">
        <w:t xml:space="preserve"> are not covered in </w:t>
      </w:r>
      <w:r w:rsidR="000D00CF">
        <w:t xml:space="preserve">introductory presentations of </w:t>
      </w:r>
      <w:r w:rsidR="00C33C48" w:rsidRPr="002001B5">
        <w:t>the strategic choice approac</w:t>
      </w:r>
      <w:r w:rsidR="00C33C48">
        <w:t>h</w:t>
      </w:r>
      <w:r w:rsidR="00C33C48" w:rsidRPr="002001B5">
        <w:t xml:space="preserve">, </w:t>
      </w:r>
      <w:r w:rsidR="00C33C48">
        <w:t>ye</w:t>
      </w:r>
      <w:r w:rsidR="00C33C48" w:rsidRPr="002001B5">
        <w:t xml:space="preserve">t </w:t>
      </w:r>
      <w:r w:rsidR="00C33C48">
        <w:t xml:space="preserve">which </w:t>
      </w:r>
      <w:r w:rsidR="00C33C48" w:rsidRPr="002001B5">
        <w:t>have attracted attention in professional communities</w:t>
      </w:r>
      <w:r w:rsidR="000D00CF">
        <w:t xml:space="preserve"> in public policy disciplines</w:t>
      </w:r>
      <w:r w:rsidR="00A45D98">
        <w:t xml:space="preserve"> </w:t>
      </w:r>
      <w:r w:rsidR="00C33C48" w:rsidRPr="002001B5">
        <w:t>such as environmental planning, political science and public admin</w:t>
      </w:r>
      <w:r w:rsidR="00C33C48">
        <w:t>ist</w:t>
      </w:r>
      <w:r w:rsidR="00C33C48" w:rsidRPr="002001B5">
        <w:t>ration.</w:t>
      </w:r>
      <w:r w:rsidR="00C33C48">
        <w:t xml:space="preserve">  Unless otherwise stated, the papers are authored by </w:t>
      </w:r>
      <w:r w:rsidR="000D00CF">
        <w:t xml:space="preserve">the </w:t>
      </w:r>
      <w:r w:rsidR="00A45D98">
        <w:t xml:space="preserve">present </w:t>
      </w:r>
      <w:r w:rsidR="000D00CF">
        <w:t>author</w:t>
      </w:r>
      <w:r w:rsidR="00C33C48">
        <w:t xml:space="preserve"> [John Friend]</w:t>
      </w:r>
      <w:r w:rsidR="00A45D98">
        <w:t xml:space="preserve">, in </w:t>
      </w:r>
      <w:r w:rsidR="00C33C48">
        <w:t>some</w:t>
      </w:r>
      <w:r w:rsidR="00A45D98">
        <w:t xml:space="preserve"> cas</w:t>
      </w:r>
      <w:r w:rsidR="00C33C48">
        <w:t>es with co-authors.</w:t>
      </w:r>
    </w:p>
    <w:p w14:paraId="2E359A79" w14:textId="77777777" w:rsidR="00C33C48" w:rsidRPr="009A5914" w:rsidRDefault="00C33C48" w:rsidP="00C33C48">
      <w:pPr>
        <w:pStyle w:val="ListParagraph"/>
        <w:spacing w:after="120"/>
        <w:ind w:left="0"/>
        <w:jc w:val="both"/>
        <w:rPr>
          <w:sz w:val="10"/>
          <w:szCs w:val="10"/>
        </w:rPr>
      </w:pPr>
      <w:r w:rsidRPr="009A5914">
        <w:rPr>
          <w:sz w:val="16"/>
          <w:szCs w:val="16"/>
        </w:rPr>
        <w:t xml:space="preserve"> </w:t>
      </w:r>
    </w:p>
    <w:p w14:paraId="5973ED92" w14:textId="77777777" w:rsidR="00C33C48" w:rsidRDefault="00C33C48" w:rsidP="00C33C48">
      <w:pPr>
        <w:pStyle w:val="ListParagraph"/>
        <w:numPr>
          <w:ilvl w:val="0"/>
          <w:numId w:val="2"/>
        </w:numPr>
        <w:spacing w:after="120" w:line="240" w:lineRule="auto"/>
        <w:ind w:left="714" w:hanging="357"/>
        <w:jc w:val="both"/>
      </w:pPr>
      <w:r>
        <w:t xml:space="preserve">1970   </w:t>
      </w:r>
      <w:r>
        <w:tab/>
      </w:r>
      <w:r>
        <w:rPr>
          <w:b/>
          <w:bCs/>
        </w:rPr>
        <w:t xml:space="preserve">Multi-organisational Decision Processes in the Planned Expansion of Towns. </w:t>
      </w:r>
      <w:r>
        <w:t xml:space="preserve"> In </w:t>
      </w:r>
      <w:r>
        <w:rPr>
          <w:i/>
          <w:iCs/>
        </w:rPr>
        <w:t xml:space="preserve">Environment and Planning, </w:t>
      </w:r>
      <w:r>
        <w:rPr>
          <w:b/>
          <w:bCs/>
        </w:rPr>
        <w:t xml:space="preserve">2, </w:t>
      </w:r>
      <w:r w:rsidRPr="002001B5">
        <w:t>33-54</w:t>
      </w:r>
      <w:r>
        <w:rPr>
          <w:b/>
          <w:bCs/>
        </w:rPr>
        <w:t xml:space="preserve"> </w:t>
      </w:r>
      <w:r>
        <w:t>(with Hunter JMH).</w:t>
      </w:r>
    </w:p>
    <w:p w14:paraId="4F6DDD2B" w14:textId="77777777" w:rsidR="00C33C48" w:rsidRDefault="00C33C48" w:rsidP="00C33C48">
      <w:pPr>
        <w:pStyle w:val="ListParagraph"/>
        <w:numPr>
          <w:ilvl w:val="0"/>
          <w:numId w:val="2"/>
        </w:numPr>
        <w:spacing w:after="120" w:line="240" w:lineRule="auto"/>
        <w:ind w:left="714" w:hanging="357"/>
        <w:jc w:val="both"/>
      </w:pPr>
      <w:r>
        <w:t>1974</w:t>
      </w:r>
      <w:r>
        <w:tab/>
      </w:r>
      <w:r w:rsidRPr="00335921">
        <w:rPr>
          <w:b/>
          <w:bCs/>
        </w:rPr>
        <w:t xml:space="preserve">Public Planning: </w:t>
      </w:r>
      <w:proofErr w:type="gramStart"/>
      <w:r w:rsidRPr="00335921">
        <w:rPr>
          <w:b/>
          <w:bCs/>
        </w:rPr>
        <w:t>the</w:t>
      </w:r>
      <w:proofErr w:type="gramEnd"/>
      <w:r>
        <w:rPr>
          <w:b/>
          <w:bCs/>
        </w:rPr>
        <w:t xml:space="preserve"> </w:t>
      </w:r>
      <w:r w:rsidRPr="00335921">
        <w:rPr>
          <w:b/>
          <w:bCs/>
        </w:rPr>
        <w:t xml:space="preserve">Inter-Corporate Dimension.  </w:t>
      </w:r>
      <w:r w:rsidRPr="004401E0">
        <w:t>London: Tavistock Publications</w:t>
      </w:r>
      <w:r>
        <w:t xml:space="preserve">. with Power JM and </w:t>
      </w:r>
      <w:proofErr w:type="spellStart"/>
      <w:r>
        <w:t>Yewlett</w:t>
      </w:r>
      <w:proofErr w:type="spellEnd"/>
      <w:r>
        <w:t xml:space="preserve"> CJL.  Reprinted Routledge 2001 in Tavistock Classics series.</w:t>
      </w:r>
    </w:p>
    <w:p w14:paraId="44CAA060" w14:textId="77777777" w:rsidR="00C33C48" w:rsidRDefault="00C33C48" w:rsidP="00C33C48">
      <w:pPr>
        <w:pStyle w:val="ListParagraph"/>
        <w:numPr>
          <w:ilvl w:val="0"/>
          <w:numId w:val="2"/>
        </w:numPr>
        <w:spacing w:after="120" w:line="240" w:lineRule="auto"/>
        <w:ind w:left="714" w:hanging="357"/>
        <w:jc w:val="both"/>
      </w:pPr>
      <w:r>
        <w:t xml:space="preserve">1976   </w:t>
      </w:r>
      <w:r>
        <w:tab/>
      </w:r>
      <w:r w:rsidRPr="0099582A">
        <w:rPr>
          <w:b/>
          <w:bCs/>
        </w:rPr>
        <w:t xml:space="preserve">Planners, Policies and Organisational Boundaries: some recent developments in Britain.  </w:t>
      </w:r>
      <w:r>
        <w:t xml:space="preserve">In </w:t>
      </w:r>
      <w:r w:rsidRPr="0099582A">
        <w:rPr>
          <w:i/>
          <w:iCs/>
        </w:rPr>
        <w:t xml:space="preserve">Policy and Politics, </w:t>
      </w:r>
      <w:r w:rsidRPr="0099582A">
        <w:rPr>
          <w:b/>
          <w:bCs/>
        </w:rPr>
        <w:t xml:space="preserve">5, </w:t>
      </w:r>
      <w:r w:rsidRPr="004401E0">
        <w:t>23</w:t>
      </w:r>
      <w:r>
        <w:t xml:space="preserve">-46.  </w:t>
      </w:r>
    </w:p>
    <w:p w14:paraId="2C774FFA" w14:textId="77777777" w:rsidR="00C33C48" w:rsidRDefault="00C33C48" w:rsidP="00C33C48">
      <w:pPr>
        <w:pStyle w:val="ListParagraph"/>
        <w:numPr>
          <w:ilvl w:val="0"/>
          <w:numId w:val="2"/>
        </w:numPr>
        <w:spacing w:after="120" w:line="240" w:lineRule="auto"/>
        <w:ind w:left="714" w:hanging="357"/>
        <w:jc w:val="both"/>
      </w:pPr>
      <w:r>
        <w:t>1977</w:t>
      </w:r>
      <w:r w:rsidRPr="0099582A">
        <w:rPr>
          <w:i/>
          <w:iCs/>
        </w:rPr>
        <w:t xml:space="preserve"> </w:t>
      </w:r>
      <w:r>
        <w:tab/>
      </w:r>
      <w:r w:rsidRPr="0099582A">
        <w:rPr>
          <w:b/>
          <w:bCs/>
        </w:rPr>
        <w:t xml:space="preserve">The Dynamics of Policy </w:t>
      </w:r>
      <w:r w:rsidRPr="005C748E">
        <w:rPr>
          <w:b/>
          <w:bCs/>
        </w:rPr>
        <w:t>Change</w:t>
      </w:r>
      <w:r w:rsidRPr="0099582A">
        <w:rPr>
          <w:b/>
          <w:bCs/>
        </w:rPr>
        <w:t xml:space="preserve">.  </w:t>
      </w:r>
      <w:r w:rsidRPr="00AF52A0">
        <w:t xml:space="preserve">In </w:t>
      </w:r>
      <w:r w:rsidRPr="0099582A">
        <w:rPr>
          <w:i/>
          <w:iCs/>
        </w:rPr>
        <w:t>Long Range Planning</w:t>
      </w:r>
      <w:r>
        <w:t xml:space="preserve">, </w:t>
      </w:r>
      <w:r w:rsidRPr="0099582A">
        <w:rPr>
          <w:b/>
          <w:bCs/>
        </w:rPr>
        <w:t>10</w:t>
      </w:r>
      <w:r>
        <w:t xml:space="preserve">, 40-47. </w:t>
      </w:r>
    </w:p>
    <w:p w14:paraId="78440022" w14:textId="77777777" w:rsidR="00C33C48" w:rsidRDefault="00C33C48" w:rsidP="00C33C48">
      <w:pPr>
        <w:pStyle w:val="ListParagraph"/>
        <w:numPr>
          <w:ilvl w:val="0"/>
          <w:numId w:val="2"/>
        </w:numPr>
        <w:spacing w:after="120" w:line="240" w:lineRule="auto"/>
        <w:ind w:left="714" w:hanging="357"/>
        <w:jc w:val="both"/>
      </w:pPr>
      <w:r>
        <w:t>1978</w:t>
      </w:r>
      <w:r>
        <w:tab/>
      </w:r>
      <w:r w:rsidRPr="0099582A">
        <w:rPr>
          <w:b/>
          <w:bCs/>
        </w:rPr>
        <w:t>AIDA a</w:t>
      </w:r>
      <w:r>
        <w:rPr>
          <w:b/>
          <w:bCs/>
        </w:rPr>
        <w:t>nd the Levels of Choice in Structure Plans</w:t>
      </w:r>
      <w:r w:rsidRPr="0099582A">
        <w:t xml:space="preserve">.  </w:t>
      </w:r>
      <w:r>
        <w:t>b</w:t>
      </w:r>
      <w:r w:rsidRPr="0099582A">
        <w:t>y Hickling A.</w:t>
      </w:r>
      <w:r>
        <w:rPr>
          <w:b/>
          <w:bCs/>
        </w:rPr>
        <w:t xml:space="preserve"> </w:t>
      </w:r>
      <w:r>
        <w:t xml:space="preserve">In </w:t>
      </w:r>
      <w:r w:rsidRPr="0099582A">
        <w:rPr>
          <w:i/>
          <w:iCs/>
        </w:rPr>
        <w:t>Town Planning Review</w:t>
      </w:r>
      <w:r>
        <w:t xml:space="preserve">, </w:t>
      </w:r>
      <w:r>
        <w:rPr>
          <w:b/>
          <w:bCs/>
        </w:rPr>
        <w:t>49</w:t>
      </w:r>
      <w:r>
        <w:t xml:space="preserve">, 459-76. </w:t>
      </w:r>
      <w:r>
        <w:rPr>
          <w:b/>
          <w:bCs/>
        </w:rPr>
        <w:t xml:space="preserve">  </w:t>
      </w:r>
    </w:p>
    <w:p w14:paraId="63C62225" w14:textId="77777777" w:rsidR="00C33C48" w:rsidRDefault="00C33C48" w:rsidP="00C33C48">
      <w:pPr>
        <w:pStyle w:val="ListParagraph"/>
        <w:numPr>
          <w:ilvl w:val="0"/>
          <w:numId w:val="2"/>
        </w:numPr>
        <w:spacing w:after="120" w:line="240" w:lineRule="auto"/>
        <w:ind w:left="714" w:hanging="357"/>
        <w:jc w:val="both"/>
      </w:pPr>
      <w:r>
        <w:t>1979</w:t>
      </w:r>
      <w:r>
        <w:tab/>
      </w:r>
      <w:r w:rsidRPr="0099582A">
        <w:rPr>
          <w:b/>
          <w:bCs/>
        </w:rPr>
        <w:t>Planning in a Multi-organisational Context</w:t>
      </w:r>
      <w:r>
        <w:t xml:space="preserve">.  In </w:t>
      </w:r>
      <w:r w:rsidRPr="0099582A">
        <w:rPr>
          <w:i/>
          <w:iCs/>
        </w:rPr>
        <w:t>Town Planning Review</w:t>
      </w:r>
      <w:r>
        <w:t xml:space="preserve">, </w:t>
      </w:r>
      <w:r w:rsidRPr="0099582A">
        <w:rPr>
          <w:b/>
          <w:bCs/>
        </w:rPr>
        <w:t>51</w:t>
      </w:r>
      <w:r>
        <w:t xml:space="preserve">, 261-9. </w:t>
      </w:r>
    </w:p>
    <w:p w14:paraId="4318C0C7" w14:textId="77777777" w:rsidR="00C33C48" w:rsidRDefault="00C33C48" w:rsidP="00C33C48">
      <w:pPr>
        <w:pStyle w:val="ListParagraph"/>
        <w:numPr>
          <w:ilvl w:val="0"/>
          <w:numId w:val="2"/>
        </w:numPr>
        <w:spacing w:after="120" w:line="240" w:lineRule="auto"/>
        <w:ind w:left="714" w:hanging="357"/>
        <w:jc w:val="both"/>
      </w:pPr>
      <w:r>
        <w:t>1981</w:t>
      </w:r>
      <w:r>
        <w:tab/>
      </w:r>
      <w:r w:rsidRPr="0099582A">
        <w:rPr>
          <w:b/>
          <w:bCs/>
        </w:rPr>
        <w:t xml:space="preserve">Competition in Public Policy: </w:t>
      </w:r>
      <w:proofErr w:type="gramStart"/>
      <w:r w:rsidRPr="0099582A">
        <w:rPr>
          <w:b/>
          <w:bCs/>
        </w:rPr>
        <w:t>the</w:t>
      </w:r>
      <w:proofErr w:type="gramEnd"/>
      <w:r w:rsidRPr="0099582A">
        <w:rPr>
          <w:b/>
          <w:bCs/>
        </w:rPr>
        <w:t xml:space="preserve"> Structure Plan as Arena</w:t>
      </w:r>
      <w:r>
        <w:t xml:space="preserve">.  In </w:t>
      </w:r>
      <w:r w:rsidRPr="0099582A">
        <w:rPr>
          <w:i/>
          <w:iCs/>
        </w:rPr>
        <w:t xml:space="preserve">Public </w:t>
      </w:r>
      <w:r w:rsidRPr="00AF52A0">
        <w:t>Administration</w:t>
      </w:r>
      <w:r>
        <w:t xml:space="preserve">, </w:t>
      </w:r>
      <w:r w:rsidRPr="0099582A">
        <w:rPr>
          <w:b/>
          <w:bCs/>
        </w:rPr>
        <w:t>59</w:t>
      </w:r>
      <w:r>
        <w:t>, 441-62.</w:t>
      </w:r>
    </w:p>
    <w:p w14:paraId="27A87C3E" w14:textId="77777777" w:rsidR="00C33C48" w:rsidRDefault="00C33C48" w:rsidP="00C33C48">
      <w:pPr>
        <w:pStyle w:val="ListParagraph"/>
        <w:numPr>
          <w:ilvl w:val="0"/>
          <w:numId w:val="2"/>
        </w:numPr>
        <w:spacing w:after="120" w:line="240" w:lineRule="auto"/>
        <w:ind w:left="714" w:hanging="357"/>
        <w:jc w:val="both"/>
      </w:pPr>
      <w:r>
        <w:t>1990</w:t>
      </w:r>
      <w:r>
        <w:tab/>
      </w:r>
      <w:r w:rsidRPr="0099582A">
        <w:rPr>
          <w:b/>
          <w:bCs/>
        </w:rPr>
        <w:t xml:space="preserve">Planning Concepts, Planning Contexts. </w:t>
      </w:r>
      <w:r>
        <w:t xml:space="preserve">In </w:t>
      </w:r>
      <w:r w:rsidRPr="0099582A">
        <w:rPr>
          <w:i/>
          <w:iCs/>
        </w:rPr>
        <w:t>Systems Practice</w:t>
      </w:r>
      <w:r>
        <w:t xml:space="preserve">, </w:t>
      </w:r>
      <w:r w:rsidRPr="0099582A">
        <w:rPr>
          <w:b/>
          <w:bCs/>
        </w:rPr>
        <w:t>3</w:t>
      </w:r>
      <w:r>
        <w:t>, 195-206.</w:t>
      </w:r>
    </w:p>
    <w:p w14:paraId="05B32A39" w14:textId="77777777" w:rsidR="00C33C48" w:rsidRDefault="00C33C48" w:rsidP="00C33C48">
      <w:pPr>
        <w:pStyle w:val="ListParagraph"/>
        <w:numPr>
          <w:ilvl w:val="0"/>
          <w:numId w:val="2"/>
        </w:numPr>
        <w:spacing w:after="120" w:line="240" w:lineRule="auto"/>
        <w:ind w:left="714" w:hanging="357"/>
        <w:jc w:val="both"/>
      </w:pPr>
      <w:r>
        <w:t>1993</w:t>
      </w:r>
      <w:r>
        <w:tab/>
      </w:r>
      <w:r w:rsidRPr="0099582A">
        <w:rPr>
          <w:b/>
          <w:bCs/>
        </w:rPr>
        <w:t>The Strategic Choice</w:t>
      </w:r>
      <w:r>
        <w:rPr>
          <w:b/>
          <w:bCs/>
        </w:rPr>
        <w:t xml:space="preserve"> Approach </w:t>
      </w:r>
      <w:r w:rsidRPr="0099582A">
        <w:rPr>
          <w:b/>
          <w:bCs/>
        </w:rPr>
        <w:t xml:space="preserve">in Environmental </w:t>
      </w:r>
      <w:proofErr w:type="gramStart"/>
      <w:r w:rsidRPr="0099582A">
        <w:rPr>
          <w:b/>
          <w:bCs/>
        </w:rPr>
        <w:t>Policy-making</w:t>
      </w:r>
      <w:proofErr w:type="gramEnd"/>
      <w:r>
        <w:t xml:space="preserve">.  In </w:t>
      </w:r>
      <w:proofErr w:type="gramStart"/>
      <w:r w:rsidRPr="0099582A">
        <w:rPr>
          <w:i/>
          <w:iCs/>
        </w:rPr>
        <w:t>The</w:t>
      </w:r>
      <w:proofErr w:type="gramEnd"/>
      <w:r w:rsidRPr="0099582A">
        <w:rPr>
          <w:i/>
          <w:iCs/>
        </w:rPr>
        <w:t xml:space="preserve"> Environmental Professional</w:t>
      </w:r>
      <w:r>
        <w:t xml:space="preserve">, </w:t>
      </w:r>
      <w:r w:rsidRPr="0099582A">
        <w:rPr>
          <w:b/>
          <w:bCs/>
        </w:rPr>
        <w:t>15</w:t>
      </w:r>
      <w:r>
        <w:t>, 164-75.</w:t>
      </w:r>
    </w:p>
    <w:p w14:paraId="45677C10" w14:textId="77777777" w:rsidR="00C33C48" w:rsidRDefault="00C33C48" w:rsidP="00C33C48">
      <w:pPr>
        <w:pStyle w:val="ListParagraph"/>
        <w:numPr>
          <w:ilvl w:val="0"/>
          <w:numId w:val="2"/>
        </w:numPr>
        <w:spacing w:after="120" w:line="240" w:lineRule="auto"/>
        <w:ind w:left="714" w:hanging="357"/>
        <w:jc w:val="both"/>
      </w:pPr>
      <w:r>
        <w:t xml:space="preserve">1995 </w:t>
      </w:r>
      <w:r>
        <w:tab/>
      </w:r>
      <w:r w:rsidRPr="0099582A">
        <w:rPr>
          <w:b/>
          <w:bCs/>
        </w:rPr>
        <w:t>Developmental Decision Processes; the Evolution of an OR Approach</w:t>
      </w:r>
      <w:r>
        <w:t xml:space="preserve">.  In </w:t>
      </w:r>
      <w:r w:rsidRPr="0099582A">
        <w:rPr>
          <w:i/>
          <w:iCs/>
        </w:rPr>
        <w:t>International Transactions in Operational Research</w:t>
      </w:r>
      <w:r>
        <w:t xml:space="preserve">, </w:t>
      </w:r>
      <w:r w:rsidRPr="0099582A">
        <w:rPr>
          <w:b/>
          <w:bCs/>
        </w:rPr>
        <w:t>2</w:t>
      </w:r>
      <w:r>
        <w:t xml:space="preserve">, 225-32. </w:t>
      </w:r>
    </w:p>
    <w:p w14:paraId="2E0F43DC" w14:textId="77777777" w:rsidR="00C33C48" w:rsidRDefault="00C33C48" w:rsidP="00C33C48">
      <w:pPr>
        <w:pStyle w:val="ListParagraph"/>
        <w:numPr>
          <w:ilvl w:val="0"/>
          <w:numId w:val="2"/>
        </w:numPr>
        <w:spacing w:after="120" w:line="240" w:lineRule="auto"/>
        <w:ind w:left="714" w:hanging="357"/>
        <w:jc w:val="both"/>
      </w:pPr>
      <w:proofErr w:type="gramStart"/>
      <w:r>
        <w:t xml:space="preserve">1998  </w:t>
      </w:r>
      <w:r>
        <w:tab/>
      </w:r>
      <w:proofErr w:type="gramEnd"/>
      <w:r w:rsidRPr="0099582A">
        <w:rPr>
          <w:b/>
          <w:bCs/>
        </w:rPr>
        <w:t>Negotiated Project Engagements: Learning from Experience</w:t>
      </w:r>
      <w:r>
        <w:t xml:space="preserve">.  In </w:t>
      </w:r>
      <w:r w:rsidRPr="0099582A">
        <w:rPr>
          <w:i/>
          <w:iCs/>
        </w:rPr>
        <w:t>Human Relations</w:t>
      </w:r>
      <w:r>
        <w:t xml:space="preserve">, </w:t>
      </w:r>
      <w:r w:rsidRPr="0099582A">
        <w:rPr>
          <w:b/>
          <w:bCs/>
        </w:rPr>
        <w:t>51</w:t>
      </w:r>
      <w:r>
        <w:t>, 1509-42.  with Bryant DT, Cunningham JB and Luckman J.</w:t>
      </w:r>
    </w:p>
    <w:p w14:paraId="1C485C27" w14:textId="77777777" w:rsidR="00C0063E" w:rsidRDefault="00C33C48" w:rsidP="00C33C48">
      <w:pPr>
        <w:pStyle w:val="ListParagraph"/>
        <w:numPr>
          <w:ilvl w:val="0"/>
          <w:numId w:val="2"/>
        </w:numPr>
        <w:spacing w:after="120" w:line="240" w:lineRule="auto"/>
        <w:ind w:left="714" w:hanging="357"/>
        <w:jc w:val="both"/>
      </w:pPr>
      <w:r>
        <w:t>2006</w:t>
      </w:r>
      <w:r>
        <w:tab/>
      </w:r>
      <w:r w:rsidRPr="0099582A">
        <w:rPr>
          <w:b/>
          <w:bCs/>
        </w:rPr>
        <w:t>Partnership meets Politics: Managing within the Maze</w:t>
      </w:r>
      <w:r>
        <w:t xml:space="preserve">.  In </w:t>
      </w:r>
      <w:r w:rsidRPr="0099582A">
        <w:rPr>
          <w:i/>
          <w:iCs/>
        </w:rPr>
        <w:t>International Journal of Public Sector Management</w:t>
      </w:r>
      <w:r>
        <w:t xml:space="preserve">, </w:t>
      </w:r>
      <w:r w:rsidRPr="0099582A">
        <w:rPr>
          <w:b/>
          <w:bCs/>
        </w:rPr>
        <w:t>19</w:t>
      </w:r>
      <w:r>
        <w:t xml:space="preserve">, 261-77.  </w:t>
      </w:r>
    </w:p>
    <w:p w14:paraId="5657BF00" w14:textId="77777777" w:rsidR="00C0063E" w:rsidRDefault="00C0063E" w:rsidP="00C0063E">
      <w:pPr>
        <w:pStyle w:val="ListParagraph"/>
        <w:spacing w:after="120" w:line="240" w:lineRule="auto"/>
        <w:ind w:left="714"/>
        <w:jc w:val="both"/>
      </w:pPr>
    </w:p>
    <w:p w14:paraId="4F4544BD" w14:textId="11DD5343" w:rsidR="00C0063E" w:rsidRDefault="00C0063E" w:rsidP="0014181E">
      <w:pPr>
        <w:pStyle w:val="ListParagraph"/>
        <w:spacing w:after="120" w:line="240" w:lineRule="auto"/>
        <w:ind w:left="0"/>
        <w:jc w:val="both"/>
      </w:pPr>
      <w:r>
        <w:t>See also</w:t>
      </w:r>
      <w:r w:rsidR="000D00CF">
        <w:t xml:space="preserve"> the following books</w:t>
      </w:r>
      <w:r>
        <w:t>:</w:t>
      </w:r>
    </w:p>
    <w:p w14:paraId="72CFF00D" w14:textId="77777777" w:rsidR="000D00CF" w:rsidRDefault="000D00CF" w:rsidP="0014181E">
      <w:pPr>
        <w:pStyle w:val="ListParagraph"/>
        <w:spacing w:after="120" w:line="240" w:lineRule="auto"/>
        <w:ind w:left="0"/>
        <w:jc w:val="both"/>
      </w:pPr>
    </w:p>
    <w:p w14:paraId="35FE00A2" w14:textId="28A49363" w:rsidR="0014181E" w:rsidRPr="00AF2DCE" w:rsidRDefault="0014181E" w:rsidP="00BA7706">
      <w:pPr>
        <w:pStyle w:val="ListParagraph"/>
        <w:numPr>
          <w:ilvl w:val="0"/>
          <w:numId w:val="2"/>
        </w:numPr>
        <w:spacing w:after="120" w:line="240" w:lineRule="auto"/>
        <w:jc w:val="both"/>
        <w:rPr>
          <w:b/>
          <w:bCs/>
        </w:rPr>
      </w:pPr>
      <w:r w:rsidRPr="0014181E">
        <w:t xml:space="preserve">1979    </w:t>
      </w:r>
      <w:r w:rsidR="00AF2DCE">
        <w:t xml:space="preserve"> </w:t>
      </w:r>
      <w:r w:rsidRPr="00BA7706">
        <w:rPr>
          <w:b/>
          <w:bCs/>
        </w:rPr>
        <w:t>Articulate intervention</w:t>
      </w:r>
      <w:r w:rsidRPr="0014181E">
        <w:t>.  Boothroyd, H.  Taylor</w:t>
      </w:r>
      <w:r>
        <w:t xml:space="preserve"> and Francis.</w:t>
      </w:r>
    </w:p>
    <w:p w14:paraId="2329931C" w14:textId="2E392433" w:rsidR="00AF2DCE" w:rsidRPr="00BA7706" w:rsidRDefault="00AF2DCE" w:rsidP="00BA7706">
      <w:pPr>
        <w:pStyle w:val="ListParagraph"/>
        <w:numPr>
          <w:ilvl w:val="0"/>
          <w:numId w:val="2"/>
        </w:numPr>
        <w:spacing w:after="120" w:line="240" w:lineRule="auto"/>
        <w:jc w:val="both"/>
        <w:rPr>
          <w:b/>
          <w:bCs/>
        </w:rPr>
      </w:pPr>
      <w:r>
        <w:t>2001</w:t>
      </w:r>
      <w:r>
        <w:tab/>
      </w:r>
      <w:r w:rsidRPr="00AF2DCE">
        <w:rPr>
          <w:b/>
          <w:bCs/>
        </w:rPr>
        <w:t>Rational Planning for a Problematic World Revisited</w:t>
      </w:r>
      <w:r>
        <w:t xml:space="preserve">. </w:t>
      </w:r>
      <w:proofErr w:type="spellStart"/>
      <w:r>
        <w:t>Rosenhead</w:t>
      </w:r>
      <w:proofErr w:type="spellEnd"/>
      <w:r>
        <w:t xml:space="preserve"> J and </w:t>
      </w:r>
      <w:r w:rsidR="009E4F1B">
        <w:t xml:space="preserve">Mingers J. Wiley. </w:t>
      </w:r>
    </w:p>
    <w:p w14:paraId="1AAB24CB" w14:textId="76FEADB9" w:rsidR="00C33C48" w:rsidRPr="00717491" w:rsidRDefault="00C0063E" w:rsidP="00C0063E">
      <w:pPr>
        <w:pStyle w:val="ListParagraph"/>
        <w:numPr>
          <w:ilvl w:val="0"/>
          <w:numId w:val="2"/>
        </w:numPr>
        <w:spacing w:after="120" w:line="240" w:lineRule="auto"/>
        <w:jc w:val="both"/>
      </w:pPr>
      <w:r>
        <w:t xml:space="preserve">2005   </w:t>
      </w:r>
      <w:r w:rsidR="0014181E">
        <w:t xml:space="preserve"> </w:t>
      </w:r>
      <w:r w:rsidR="00AF2DCE">
        <w:t xml:space="preserve"> </w:t>
      </w:r>
      <w:r>
        <w:rPr>
          <w:b/>
          <w:bCs/>
        </w:rPr>
        <w:t xml:space="preserve">Planning under Pressure: </w:t>
      </w:r>
      <w:proofErr w:type="gramStart"/>
      <w:r>
        <w:rPr>
          <w:b/>
          <w:bCs/>
        </w:rPr>
        <w:t>the</w:t>
      </w:r>
      <w:proofErr w:type="gramEnd"/>
      <w:r>
        <w:rPr>
          <w:b/>
          <w:bCs/>
        </w:rPr>
        <w:t xml:space="preserve"> Strategic Choice Approach</w:t>
      </w:r>
      <w:r w:rsidRPr="00C0063E">
        <w:t>. Fr</w:t>
      </w:r>
      <w:r>
        <w:t xml:space="preserve">iend J and </w:t>
      </w:r>
      <w:r w:rsidR="009E4F1B">
        <w:t>Hickling</w:t>
      </w:r>
      <w:r>
        <w:t xml:space="preserve"> A.  3</w:t>
      </w:r>
      <w:r w:rsidRPr="00C0063E">
        <w:rPr>
          <w:vertAlign w:val="superscript"/>
        </w:rPr>
        <w:t>rd</w:t>
      </w:r>
      <w:r>
        <w:t xml:space="preserve"> edition: Routledge.</w:t>
      </w:r>
      <w:r w:rsidR="00C33C48">
        <w:t xml:space="preserve">   </w:t>
      </w:r>
    </w:p>
    <w:p w14:paraId="32AF395E" w14:textId="77777777" w:rsidR="00C33C48" w:rsidRPr="00787276" w:rsidRDefault="00C33C48" w:rsidP="00C33C48">
      <w:pPr>
        <w:pStyle w:val="ListParagraph"/>
        <w:spacing w:after="120"/>
        <w:jc w:val="both"/>
        <w:rPr>
          <w:sz w:val="16"/>
          <w:szCs w:val="16"/>
        </w:rPr>
      </w:pPr>
    </w:p>
    <w:p w14:paraId="0A0E7786" w14:textId="50CC7099" w:rsidR="00C33C48" w:rsidRDefault="00C33C48" w:rsidP="000E7DDA">
      <w:pPr>
        <w:pStyle w:val="ListParagraph"/>
        <w:spacing w:after="120"/>
        <w:ind w:left="0"/>
        <w:jc w:val="both"/>
      </w:pPr>
      <w:r w:rsidRPr="00A919A4">
        <w:t>For a comprehensive coverage of the philosophy and toolkit of the Strategic Choice Approach</w:t>
      </w:r>
      <w:r w:rsidR="00A45D98">
        <w:t xml:space="preserve"> to communicative planning</w:t>
      </w:r>
      <w:r w:rsidRPr="00A919A4">
        <w:t xml:space="preserve">, you are referred to the third edition of </w:t>
      </w:r>
      <w:r w:rsidRPr="00787276">
        <w:rPr>
          <w:i/>
          <w:iCs/>
        </w:rPr>
        <w:t>Planning under Press</w:t>
      </w:r>
      <w:r w:rsidR="009E4F1B">
        <w:rPr>
          <w:i/>
          <w:iCs/>
        </w:rPr>
        <w:t>ure</w:t>
      </w:r>
      <w:r w:rsidR="000D00CF">
        <w:rPr>
          <w:vertAlign w:val="superscript"/>
        </w:rPr>
        <w:t>15</w:t>
      </w:r>
      <w:r w:rsidR="00E86FE9">
        <w:t xml:space="preserve">.  </w:t>
      </w:r>
      <w:r w:rsidRPr="00A919A4">
        <w:t xml:space="preserve"> </w:t>
      </w:r>
      <w:r w:rsidR="00A45D98">
        <w:t xml:space="preserve">You are also referred to </w:t>
      </w:r>
      <w:r w:rsidR="00E86FE9">
        <w:t xml:space="preserve">Chapter 7 by Hickling of the book by </w:t>
      </w:r>
      <w:proofErr w:type="spellStart"/>
      <w:r w:rsidR="00E86FE9">
        <w:t>Rosenhead</w:t>
      </w:r>
      <w:proofErr w:type="spellEnd"/>
      <w:r w:rsidR="00E86FE9">
        <w:t xml:space="preserve"> and Mingers</w:t>
      </w:r>
      <w:r w:rsidR="00E86FE9">
        <w:rPr>
          <w:vertAlign w:val="superscript"/>
        </w:rPr>
        <w:t>14</w:t>
      </w:r>
      <w:r w:rsidR="0016706B">
        <w:t xml:space="preserve">, which </w:t>
      </w:r>
      <w:r w:rsidRPr="00A919A4">
        <w:t>describes an</w:t>
      </w:r>
      <w:r w:rsidR="00E86FE9">
        <w:t xml:space="preserve"> early </w:t>
      </w:r>
      <w:r w:rsidRPr="00A919A4">
        <w:t xml:space="preserve">application to shaping the policy of the Netherlands government in response to </w:t>
      </w:r>
      <w:r w:rsidR="0016706B">
        <w:t>a pressing</w:t>
      </w:r>
      <w:r w:rsidRPr="00A919A4">
        <w:t xml:space="preserve"> challenge of agreeing national policies for the transport and storage of volatile petrochemical feedstocks.</w:t>
      </w:r>
    </w:p>
    <w:p w14:paraId="1935CAC3" w14:textId="2186A8DC" w:rsidR="000E7DDA" w:rsidRDefault="000E7DDA" w:rsidP="000E7DDA">
      <w:pPr>
        <w:pStyle w:val="ListParagraph"/>
        <w:spacing w:after="120"/>
        <w:ind w:left="0"/>
        <w:jc w:val="both"/>
      </w:pPr>
    </w:p>
    <w:p w14:paraId="4608C408" w14:textId="6596FE70" w:rsidR="000E7DDA" w:rsidRPr="0016706B" w:rsidRDefault="000E7DDA" w:rsidP="000E7DDA">
      <w:pPr>
        <w:pStyle w:val="ListParagraph"/>
        <w:spacing w:after="120"/>
        <w:ind w:left="0"/>
        <w:jc w:val="right"/>
        <w:rPr>
          <w:b/>
          <w:bCs/>
          <w:i/>
          <w:iCs/>
        </w:rPr>
      </w:pPr>
      <w:r w:rsidRPr="0016706B">
        <w:rPr>
          <w:b/>
          <w:bCs/>
        </w:rPr>
        <w:t>John Friend</w:t>
      </w:r>
      <w:r w:rsidRPr="0016706B">
        <w:rPr>
          <w:b/>
          <w:bCs/>
        </w:rPr>
        <w:tab/>
        <w:t>August 2019</w:t>
      </w:r>
    </w:p>
    <w:p w14:paraId="12260BD7" w14:textId="77777777" w:rsidR="00D94E66" w:rsidRPr="0094150C" w:rsidRDefault="00D94E66" w:rsidP="009A5914">
      <w:pPr>
        <w:jc w:val="both"/>
      </w:pPr>
    </w:p>
    <w:sectPr w:rsidR="00D94E66" w:rsidRPr="0094150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B9395" w14:textId="77777777" w:rsidR="00570EDD" w:rsidRDefault="00570EDD" w:rsidP="000C37C0">
      <w:pPr>
        <w:spacing w:after="0" w:line="240" w:lineRule="auto"/>
      </w:pPr>
      <w:r>
        <w:separator/>
      </w:r>
    </w:p>
  </w:endnote>
  <w:endnote w:type="continuationSeparator" w:id="0">
    <w:p w14:paraId="7C20244A" w14:textId="77777777" w:rsidR="00570EDD" w:rsidRDefault="00570EDD" w:rsidP="000C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674218"/>
      <w:docPartObj>
        <w:docPartGallery w:val="Page Numbers (Bottom of Page)"/>
        <w:docPartUnique/>
      </w:docPartObj>
    </w:sdtPr>
    <w:sdtEndPr>
      <w:rPr>
        <w:noProof/>
      </w:rPr>
    </w:sdtEndPr>
    <w:sdtContent>
      <w:p w14:paraId="16982536" w14:textId="32AEA017" w:rsidR="0090122D" w:rsidRDefault="009012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E50FB9" w14:textId="77777777" w:rsidR="0090122D" w:rsidRDefault="0090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1AA0B" w14:textId="77777777" w:rsidR="00570EDD" w:rsidRDefault="00570EDD" w:rsidP="000C37C0">
      <w:pPr>
        <w:spacing w:after="0" w:line="240" w:lineRule="auto"/>
      </w:pPr>
      <w:r>
        <w:separator/>
      </w:r>
    </w:p>
  </w:footnote>
  <w:footnote w:type="continuationSeparator" w:id="0">
    <w:p w14:paraId="657D56F9" w14:textId="77777777" w:rsidR="00570EDD" w:rsidRDefault="00570EDD" w:rsidP="000C3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0574B"/>
    <w:multiLevelType w:val="hybridMultilevel"/>
    <w:tmpl w:val="54ACE4F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A47370"/>
    <w:multiLevelType w:val="hybridMultilevel"/>
    <w:tmpl w:val="38C8A270"/>
    <w:lvl w:ilvl="0" w:tplc="8ABCBD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DA012C"/>
    <w:multiLevelType w:val="hybridMultilevel"/>
    <w:tmpl w:val="68CCD6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B2B4E"/>
    <w:multiLevelType w:val="hybridMultilevel"/>
    <w:tmpl w:val="AFEA2052"/>
    <w:lvl w:ilvl="0" w:tplc="E9029E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3A47CD"/>
    <w:multiLevelType w:val="hybridMultilevel"/>
    <w:tmpl w:val="8550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4F5C10"/>
    <w:multiLevelType w:val="hybridMultilevel"/>
    <w:tmpl w:val="9438B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Friend">
    <w15:presenceInfo w15:providerId="Windows Live" w15:userId="449a51108054ec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A0"/>
    <w:rsid w:val="000005F0"/>
    <w:rsid w:val="00053DF2"/>
    <w:rsid w:val="000702F1"/>
    <w:rsid w:val="000B00F8"/>
    <w:rsid w:val="000B3D7E"/>
    <w:rsid w:val="000C37C0"/>
    <w:rsid w:val="000D00CF"/>
    <w:rsid w:val="000E7DDA"/>
    <w:rsid w:val="00117AB4"/>
    <w:rsid w:val="0012731C"/>
    <w:rsid w:val="0014181E"/>
    <w:rsid w:val="00151BEA"/>
    <w:rsid w:val="0016706B"/>
    <w:rsid w:val="001711FF"/>
    <w:rsid w:val="00185750"/>
    <w:rsid w:val="001A456D"/>
    <w:rsid w:val="001A46E2"/>
    <w:rsid w:val="001A67C4"/>
    <w:rsid w:val="001C789F"/>
    <w:rsid w:val="001E3587"/>
    <w:rsid w:val="001E5F6B"/>
    <w:rsid w:val="002138F8"/>
    <w:rsid w:val="00266812"/>
    <w:rsid w:val="002871A0"/>
    <w:rsid w:val="002B2DB0"/>
    <w:rsid w:val="00326426"/>
    <w:rsid w:val="00343366"/>
    <w:rsid w:val="003942A0"/>
    <w:rsid w:val="00395D99"/>
    <w:rsid w:val="00410E7E"/>
    <w:rsid w:val="004148F6"/>
    <w:rsid w:val="00426C55"/>
    <w:rsid w:val="00445C5E"/>
    <w:rsid w:val="0046563B"/>
    <w:rsid w:val="0047628A"/>
    <w:rsid w:val="004A1924"/>
    <w:rsid w:val="005247C5"/>
    <w:rsid w:val="00545587"/>
    <w:rsid w:val="005548E7"/>
    <w:rsid w:val="00570EDD"/>
    <w:rsid w:val="0058743C"/>
    <w:rsid w:val="005A721B"/>
    <w:rsid w:val="005C1A49"/>
    <w:rsid w:val="005C748E"/>
    <w:rsid w:val="005D4781"/>
    <w:rsid w:val="0063013B"/>
    <w:rsid w:val="006326CB"/>
    <w:rsid w:val="006413CC"/>
    <w:rsid w:val="006418A0"/>
    <w:rsid w:val="0065135B"/>
    <w:rsid w:val="0065279F"/>
    <w:rsid w:val="00691BA2"/>
    <w:rsid w:val="006A5EA4"/>
    <w:rsid w:val="006C1366"/>
    <w:rsid w:val="006D3F7C"/>
    <w:rsid w:val="00724540"/>
    <w:rsid w:val="0073778A"/>
    <w:rsid w:val="0074254C"/>
    <w:rsid w:val="00762F99"/>
    <w:rsid w:val="007804D4"/>
    <w:rsid w:val="00787276"/>
    <w:rsid w:val="00791C9E"/>
    <w:rsid w:val="007C481C"/>
    <w:rsid w:val="007E658B"/>
    <w:rsid w:val="007E7352"/>
    <w:rsid w:val="007E7544"/>
    <w:rsid w:val="00850E70"/>
    <w:rsid w:val="00857FD6"/>
    <w:rsid w:val="0087095F"/>
    <w:rsid w:val="00885DFC"/>
    <w:rsid w:val="008B495F"/>
    <w:rsid w:val="008C5C71"/>
    <w:rsid w:val="008D5C5F"/>
    <w:rsid w:val="008E2EFA"/>
    <w:rsid w:val="0090122D"/>
    <w:rsid w:val="00917487"/>
    <w:rsid w:val="00922FC2"/>
    <w:rsid w:val="00926AB9"/>
    <w:rsid w:val="0094150C"/>
    <w:rsid w:val="00966AD4"/>
    <w:rsid w:val="0098656A"/>
    <w:rsid w:val="00986918"/>
    <w:rsid w:val="009A3DA0"/>
    <w:rsid w:val="009A5914"/>
    <w:rsid w:val="009C0720"/>
    <w:rsid w:val="009E4F1B"/>
    <w:rsid w:val="009E55FB"/>
    <w:rsid w:val="009F65F5"/>
    <w:rsid w:val="00A376C3"/>
    <w:rsid w:val="00A37A3A"/>
    <w:rsid w:val="00A45D98"/>
    <w:rsid w:val="00A8128B"/>
    <w:rsid w:val="00A919A4"/>
    <w:rsid w:val="00AA12BE"/>
    <w:rsid w:val="00AC5CA8"/>
    <w:rsid w:val="00AF2DCE"/>
    <w:rsid w:val="00B25344"/>
    <w:rsid w:val="00B619C8"/>
    <w:rsid w:val="00B802F9"/>
    <w:rsid w:val="00B84BFD"/>
    <w:rsid w:val="00BA7706"/>
    <w:rsid w:val="00BE6B74"/>
    <w:rsid w:val="00C0063E"/>
    <w:rsid w:val="00C21A0F"/>
    <w:rsid w:val="00C33C48"/>
    <w:rsid w:val="00CC61F0"/>
    <w:rsid w:val="00CD2436"/>
    <w:rsid w:val="00CD4113"/>
    <w:rsid w:val="00CE6AFF"/>
    <w:rsid w:val="00CF008B"/>
    <w:rsid w:val="00D332EE"/>
    <w:rsid w:val="00D446CC"/>
    <w:rsid w:val="00D50A3E"/>
    <w:rsid w:val="00D50FD8"/>
    <w:rsid w:val="00D515F9"/>
    <w:rsid w:val="00D77192"/>
    <w:rsid w:val="00D94E66"/>
    <w:rsid w:val="00DA53E6"/>
    <w:rsid w:val="00DB6F16"/>
    <w:rsid w:val="00E04E80"/>
    <w:rsid w:val="00E04EB7"/>
    <w:rsid w:val="00E250DA"/>
    <w:rsid w:val="00E41506"/>
    <w:rsid w:val="00E6462D"/>
    <w:rsid w:val="00E70C57"/>
    <w:rsid w:val="00E77B3A"/>
    <w:rsid w:val="00E86FE9"/>
    <w:rsid w:val="00EA0C6A"/>
    <w:rsid w:val="00ED3628"/>
    <w:rsid w:val="00F21FCE"/>
    <w:rsid w:val="00F242F1"/>
    <w:rsid w:val="00F258F4"/>
    <w:rsid w:val="00F70002"/>
    <w:rsid w:val="00F840FD"/>
    <w:rsid w:val="00F87513"/>
    <w:rsid w:val="00FC4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F5482"/>
  <w15:chartTrackingRefBased/>
  <w15:docId w15:val="{82E8E53F-CD56-453E-9829-17BB3E95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8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BEA"/>
    <w:pPr>
      <w:ind w:left="720"/>
      <w:contextualSpacing/>
    </w:pPr>
  </w:style>
  <w:style w:type="paragraph" w:styleId="FootnoteText">
    <w:name w:val="footnote text"/>
    <w:basedOn w:val="Normal"/>
    <w:link w:val="FootnoteTextChar"/>
    <w:uiPriority w:val="99"/>
    <w:semiHidden/>
    <w:unhideWhenUsed/>
    <w:rsid w:val="000C37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7C0"/>
    <w:rPr>
      <w:sz w:val="20"/>
      <w:szCs w:val="20"/>
    </w:rPr>
  </w:style>
  <w:style w:type="character" w:styleId="FootnoteReference">
    <w:name w:val="footnote reference"/>
    <w:basedOn w:val="DefaultParagraphFont"/>
    <w:uiPriority w:val="99"/>
    <w:semiHidden/>
    <w:unhideWhenUsed/>
    <w:rsid w:val="000C37C0"/>
    <w:rPr>
      <w:vertAlign w:val="superscript"/>
    </w:rPr>
  </w:style>
  <w:style w:type="paragraph" w:styleId="Header">
    <w:name w:val="header"/>
    <w:basedOn w:val="Normal"/>
    <w:link w:val="HeaderChar"/>
    <w:uiPriority w:val="99"/>
    <w:unhideWhenUsed/>
    <w:rsid w:val="00850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E70"/>
  </w:style>
  <w:style w:type="paragraph" w:styleId="Footer">
    <w:name w:val="footer"/>
    <w:basedOn w:val="Normal"/>
    <w:link w:val="FooterChar"/>
    <w:uiPriority w:val="99"/>
    <w:unhideWhenUsed/>
    <w:rsid w:val="00850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E70"/>
  </w:style>
  <w:style w:type="character" w:styleId="CommentReference">
    <w:name w:val="annotation reference"/>
    <w:basedOn w:val="DefaultParagraphFont"/>
    <w:uiPriority w:val="99"/>
    <w:semiHidden/>
    <w:unhideWhenUsed/>
    <w:rsid w:val="00D446CC"/>
    <w:rPr>
      <w:sz w:val="16"/>
      <w:szCs w:val="16"/>
    </w:rPr>
  </w:style>
  <w:style w:type="paragraph" w:styleId="CommentText">
    <w:name w:val="annotation text"/>
    <w:basedOn w:val="Normal"/>
    <w:link w:val="CommentTextChar"/>
    <w:uiPriority w:val="99"/>
    <w:semiHidden/>
    <w:unhideWhenUsed/>
    <w:rsid w:val="00D446CC"/>
    <w:pPr>
      <w:spacing w:line="240" w:lineRule="auto"/>
    </w:pPr>
    <w:rPr>
      <w:sz w:val="20"/>
      <w:szCs w:val="20"/>
    </w:rPr>
  </w:style>
  <w:style w:type="character" w:customStyle="1" w:styleId="CommentTextChar">
    <w:name w:val="Comment Text Char"/>
    <w:basedOn w:val="DefaultParagraphFont"/>
    <w:link w:val="CommentText"/>
    <w:uiPriority w:val="99"/>
    <w:semiHidden/>
    <w:rsid w:val="00D446CC"/>
    <w:rPr>
      <w:sz w:val="20"/>
      <w:szCs w:val="20"/>
    </w:rPr>
  </w:style>
  <w:style w:type="paragraph" w:styleId="CommentSubject">
    <w:name w:val="annotation subject"/>
    <w:basedOn w:val="CommentText"/>
    <w:next w:val="CommentText"/>
    <w:link w:val="CommentSubjectChar"/>
    <w:uiPriority w:val="99"/>
    <w:semiHidden/>
    <w:unhideWhenUsed/>
    <w:rsid w:val="00D446CC"/>
    <w:rPr>
      <w:b/>
      <w:bCs/>
    </w:rPr>
  </w:style>
  <w:style w:type="character" w:customStyle="1" w:styleId="CommentSubjectChar">
    <w:name w:val="Comment Subject Char"/>
    <w:basedOn w:val="CommentTextChar"/>
    <w:link w:val="CommentSubject"/>
    <w:uiPriority w:val="99"/>
    <w:semiHidden/>
    <w:rsid w:val="00D446CC"/>
    <w:rPr>
      <w:b/>
      <w:bCs/>
      <w:sz w:val="20"/>
      <w:szCs w:val="20"/>
    </w:rPr>
  </w:style>
  <w:style w:type="paragraph" w:styleId="BalloonText">
    <w:name w:val="Balloon Text"/>
    <w:basedOn w:val="Normal"/>
    <w:link w:val="BalloonTextChar"/>
    <w:uiPriority w:val="99"/>
    <w:semiHidden/>
    <w:unhideWhenUsed/>
    <w:rsid w:val="00D44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6CC"/>
    <w:rPr>
      <w:rFonts w:ascii="Segoe UI" w:hAnsi="Segoe UI" w:cs="Segoe UI"/>
      <w:sz w:val="18"/>
      <w:szCs w:val="18"/>
    </w:rPr>
  </w:style>
  <w:style w:type="paragraph" w:styleId="Revision">
    <w:name w:val="Revision"/>
    <w:hidden/>
    <w:uiPriority w:val="99"/>
    <w:semiHidden/>
    <w:rsid w:val="003942A0"/>
    <w:pPr>
      <w:spacing w:after="0" w:line="240" w:lineRule="auto"/>
    </w:pPr>
  </w:style>
  <w:style w:type="character" w:customStyle="1" w:styleId="Heading1Char">
    <w:name w:val="Heading 1 Char"/>
    <w:basedOn w:val="DefaultParagraphFont"/>
    <w:link w:val="Heading1"/>
    <w:uiPriority w:val="9"/>
    <w:rsid w:val="0014181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F8DA-8E23-4A4C-9C81-23B8DE73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Friend</dc:creator>
  <cp:keywords/>
  <dc:description/>
  <cp:lastModifiedBy>John Friend</cp:lastModifiedBy>
  <cp:revision>2</cp:revision>
  <cp:lastPrinted>2019-08-13T09:18:00Z</cp:lastPrinted>
  <dcterms:created xsi:type="dcterms:W3CDTF">2019-08-14T12:43:00Z</dcterms:created>
  <dcterms:modified xsi:type="dcterms:W3CDTF">2019-08-14T12:43:00Z</dcterms:modified>
</cp:coreProperties>
</file>